
<file path=[Content_Types].xml><?xml version="1.0" encoding="utf-8"?>
<Types xmlns="http://schemas.openxmlformats.org/package/2006/content-types">
  <Default Extension="xml" ContentType="application/xml"/>
  <Default Extension="jpeg" ContentType="image/jpeg"/>
  <Default Extension="JPG" ContentType="image/.jpg"/>
  <Default Extension="wdp" ContentType="image/vnd.ms-photo"/>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jc w:val="center"/>
        <w:rPr>
          <w:rFonts w:ascii="Arial" w:hAnsi="Arial" w:cs="Arial"/>
          <w:b/>
          <w:sz w:val="24"/>
          <w:szCs w:val="24"/>
          <w:lang w:val="en-US"/>
        </w:rPr>
      </w:pPr>
      <w:r>
        <w:rPr>
          <w:rFonts w:ascii="Arial" w:hAnsi="Arial" w:cs="Arial"/>
          <w:b/>
          <w:sz w:val="24"/>
          <w:szCs w:val="24"/>
          <w:lang w:val="en-US"/>
        </w:rPr>
        <w:tab/>
      </w:r>
    </w:p>
    <w:p>
      <w:pPr>
        <w:spacing w:after="0" w:line="360" w:lineRule="auto"/>
        <w:jc w:val="center"/>
        <w:rPr>
          <w:rFonts w:ascii="Arial" w:hAnsi="Arial" w:cs="Arial"/>
          <w:b/>
          <w:sz w:val="24"/>
          <w:szCs w:val="24"/>
        </w:rPr>
      </w:pPr>
      <w:r>
        <w:rPr>
          <w:rFonts w:ascii="Arial" w:hAnsi="Arial" w:cs="Arial"/>
          <w:b/>
          <w:sz w:val="24"/>
          <w:szCs w:val="24"/>
          <w:lang w:val="en-US"/>
        </w:rPr>
        <w:drawing>
          <wp:anchor distT="0" distB="0" distL="114300" distR="114300" simplePos="0" relativeHeight="251661312" behindDoc="0" locked="0" layoutInCell="1" allowOverlap="1">
            <wp:simplePos x="0" y="0"/>
            <wp:positionH relativeFrom="column">
              <wp:posOffset>2595880</wp:posOffset>
            </wp:positionH>
            <wp:positionV relativeFrom="paragraph">
              <wp:posOffset>26670</wp:posOffset>
            </wp:positionV>
            <wp:extent cx="1371600" cy="1835150"/>
            <wp:effectExtent l="0" t="0" r="0" b="0"/>
            <wp:wrapSquare wrapText="bothSides"/>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371600" cy="1835150"/>
                    </a:xfrm>
                    <a:prstGeom prst="rect">
                      <a:avLst/>
                    </a:prstGeom>
                    <a:noFill/>
                    <a:ln>
                      <a:noFill/>
                    </a:ln>
                  </pic:spPr>
                </pic:pic>
              </a:graphicData>
            </a:graphic>
          </wp:anchor>
        </w:drawing>
      </w:r>
    </w:p>
    <w:p>
      <w:pPr>
        <w:spacing w:after="0" w:line="360" w:lineRule="auto"/>
        <w:jc w:val="center"/>
        <w:rPr>
          <w:rFonts w:ascii="Arial" w:hAnsi="Arial" w:cs="Arial"/>
          <w:b/>
          <w:sz w:val="24"/>
          <w:szCs w:val="24"/>
        </w:rPr>
      </w:pPr>
    </w:p>
    <w:p>
      <w:pPr>
        <w:spacing w:after="0" w:line="360" w:lineRule="auto"/>
        <w:jc w:val="center"/>
        <w:rPr>
          <w:rFonts w:ascii="Arial" w:hAnsi="Arial" w:cs="Arial"/>
          <w:b/>
          <w:sz w:val="24"/>
          <w:szCs w:val="24"/>
        </w:rPr>
      </w:pPr>
    </w:p>
    <w:p>
      <w:pPr>
        <w:spacing w:after="0" w:line="360" w:lineRule="auto"/>
        <w:jc w:val="center"/>
        <w:rPr>
          <w:rFonts w:ascii="Arial" w:hAnsi="Arial" w:cs="Arial"/>
          <w:b/>
          <w:sz w:val="24"/>
          <w:szCs w:val="24"/>
        </w:rPr>
      </w:pPr>
    </w:p>
    <w:p>
      <w:pPr>
        <w:spacing w:after="0" w:line="360" w:lineRule="auto"/>
        <w:jc w:val="center"/>
        <w:rPr>
          <w:rFonts w:ascii="Arial" w:hAnsi="Arial" w:cs="Arial"/>
          <w:b/>
          <w:sz w:val="24"/>
          <w:szCs w:val="24"/>
        </w:rPr>
      </w:pPr>
    </w:p>
    <w:p>
      <w:pPr>
        <w:spacing w:after="0" w:line="360" w:lineRule="auto"/>
        <w:jc w:val="center"/>
        <w:rPr>
          <w:rFonts w:ascii="Arial" w:hAnsi="Arial" w:cs="Arial"/>
          <w:b/>
          <w:sz w:val="24"/>
          <w:szCs w:val="24"/>
        </w:rPr>
      </w:pPr>
    </w:p>
    <w:p>
      <w:pPr>
        <w:spacing w:after="0" w:line="360" w:lineRule="auto"/>
        <w:jc w:val="center"/>
        <w:rPr>
          <w:rFonts w:ascii="Arial" w:hAnsi="Arial" w:cs="Arial"/>
          <w:b/>
          <w:sz w:val="24"/>
          <w:szCs w:val="24"/>
        </w:rPr>
      </w:pPr>
    </w:p>
    <w:p>
      <w:pPr>
        <w:spacing w:after="0" w:line="360" w:lineRule="auto"/>
        <w:jc w:val="center"/>
        <w:rPr>
          <w:rFonts w:ascii="Arial" w:hAnsi="Arial" w:cs="Arial"/>
          <w:b/>
          <w:sz w:val="24"/>
          <w:szCs w:val="24"/>
        </w:rPr>
      </w:pPr>
      <w:r>
        <w:rPr>
          <w:lang w:val="en-US"/>
        </w:rPr>
        <mc:AlternateContent>
          <mc:Choice Requires="wps">
            <w:drawing>
              <wp:anchor distT="0" distB="0" distL="114300" distR="114300" simplePos="0" relativeHeight="251660288" behindDoc="0" locked="0" layoutInCell="1" allowOverlap="1">
                <wp:simplePos x="0" y="0"/>
                <wp:positionH relativeFrom="column">
                  <wp:posOffset>1116330</wp:posOffset>
                </wp:positionH>
                <wp:positionV relativeFrom="paragraph">
                  <wp:posOffset>243840</wp:posOffset>
                </wp:positionV>
                <wp:extent cx="4298950" cy="868045"/>
                <wp:effectExtent l="0" t="0" r="0" b="8255"/>
                <wp:wrapNone/>
                <wp:docPr id="5" name="Text Box 4"/>
                <wp:cNvGraphicFramePr/>
                <a:graphic xmlns:a="http://schemas.openxmlformats.org/drawingml/2006/main">
                  <a:graphicData uri="http://schemas.microsoft.com/office/word/2010/wordprocessingShape">
                    <wps:wsp>
                      <wps:cNvSpPr txBox="1"/>
                      <wps:spPr>
                        <a:xfrm>
                          <a:off x="0" y="0"/>
                          <a:ext cx="4298950" cy="868045"/>
                        </a:xfrm>
                        <a:prstGeom prst="rect">
                          <a:avLst/>
                        </a:prstGeom>
                        <a:noFill/>
                        <a:ln>
                          <a:noFill/>
                        </a:ln>
                        <a:effectLst/>
                      </wps:spPr>
                      <wps:txbx>
                        <w:txbxContent>
                          <w:p>
                            <w:pPr>
                              <w:spacing w:after="0" w:line="360" w:lineRule="auto"/>
                              <w:jc w:val="center"/>
                              <w:rPr>
                                <w:rFonts w:ascii="Courier New" w:hAnsi="Courier New" w:cs="Courier New"/>
                                <w:b/>
                                <w:bCs/>
                                <w:color w:val="000000"/>
                                <w:sz w:val="72"/>
                                <w:szCs w:val="72"/>
                              </w:rPr>
                            </w:pPr>
                            <w:r>
                              <w:rPr>
                                <w:rFonts w:ascii="Courier New" w:hAnsi="Courier New" w:cs="Courier New"/>
                                <w:b/>
                                <w:bCs/>
                                <w:color w:val="000000"/>
                                <w:sz w:val="72"/>
                                <w:szCs w:val="72"/>
                              </w:rPr>
                              <w:t>LAPORAN KINERJA</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Text Box 4" o:spid="_x0000_s1026" o:spt="202" type="#_x0000_t202" style="position:absolute;left:0pt;margin-left:87.9pt;margin-top:19.2pt;height:68.35pt;width:338.5pt;mso-wrap-style:none;z-index:251660288;mso-width-relative:page;mso-height-relative:page;" filled="f" stroked="f" coordsize="21600,21600" o:gfxdata="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NU&#10;oJTUAAAACgEAAA8AAAAAAAAAAQAgAAAAIgAAAGRycy9kb3ducmV2LnhtbFBLAQIUABQAAAAIAIdO&#10;4kCLmq8hJwIAAGgEAAAOAAAAAAAAAAEAIAAAACMBAABkcnMvZTJvRG9jLnhtbFBLBQYAAAAABgAG&#10;AFkBAAC8BQAAAAA=&#10;">
                <v:fill on="f" focussize="0,0"/>
                <v:stroke on="f"/>
                <v:imagedata o:title=""/>
                <o:lock v:ext="edit" aspectratio="f"/>
                <v:textbox style="mso-fit-shape-to-text:t;">
                  <w:txbxContent>
                    <w:p>
                      <w:pPr>
                        <w:spacing w:after="0" w:line="360" w:lineRule="auto"/>
                        <w:jc w:val="center"/>
                        <w:rPr>
                          <w:rFonts w:ascii="Courier New" w:hAnsi="Courier New" w:cs="Courier New"/>
                          <w:b/>
                          <w:bCs/>
                          <w:color w:val="000000"/>
                          <w:sz w:val="72"/>
                          <w:szCs w:val="72"/>
                        </w:rPr>
                      </w:pPr>
                      <w:r>
                        <w:rPr>
                          <w:rFonts w:ascii="Courier New" w:hAnsi="Courier New" w:cs="Courier New"/>
                          <w:b/>
                          <w:bCs/>
                          <w:color w:val="000000"/>
                          <w:sz w:val="72"/>
                          <w:szCs w:val="72"/>
                        </w:rPr>
                        <w:t>LAPORAN KINERJA</w:t>
                      </w:r>
                    </w:p>
                  </w:txbxContent>
                </v:textbox>
              </v:shape>
            </w:pict>
          </mc:Fallback>
        </mc:AlternateContent>
      </w:r>
    </w:p>
    <w:p>
      <w:pPr>
        <w:spacing w:after="0" w:line="360" w:lineRule="auto"/>
        <w:jc w:val="center"/>
        <w:rPr>
          <w:rFonts w:ascii="Arial" w:hAnsi="Arial" w:cs="Arial"/>
          <w:b/>
          <w:color w:val="000000"/>
          <w:sz w:val="44"/>
          <w:szCs w:val="44"/>
        </w:rPr>
      </w:pPr>
    </w:p>
    <w:p>
      <w:pPr>
        <w:spacing w:after="0" w:line="360" w:lineRule="auto"/>
        <w:jc w:val="center"/>
        <w:rPr>
          <w:rFonts w:ascii="Arial" w:hAnsi="Arial" w:cs="Arial"/>
          <w:b/>
          <w:sz w:val="40"/>
          <w:szCs w:val="40"/>
        </w:rPr>
      </w:pPr>
      <w:r>
        <w:rPr>
          <w:rFonts w:ascii="Arial" w:hAnsi="Arial" w:cs="Arial"/>
          <w:b/>
          <w:bCs/>
          <w:color w:val="000000"/>
          <w:sz w:val="44"/>
          <w:szCs w:val="44"/>
          <w:lang w:val="en-US"/>
        </w:rPr>
        <mc:AlternateContent>
          <mc:Choice Requires="wps">
            <w:drawing>
              <wp:anchor distT="0" distB="0" distL="114300" distR="114300" simplePos="0" relativeHeight="251659264" behindDoc="0" locked="0" layoutInCell="1" allowOverlap="1">
                <wp:simplePos x="0" y="0"/>
                <wp:positionH relativeFrom="column">
                  <wp:posOffset>2728595</wp:posOffset>
                </wp:positionH>
                <wp:positionV relativeFrom="paragraph">
                  <wp:posOffset>765810</wp:posOffset>
                </wp:positionV>
                <wp:extent cx="990600" cy="4333875"/>
                <wp:effectExtent l="47625" t="38100" r="47625" b="38100"/>
                <wp:wrapNone/>
                <wp:docPr id="4" name="Up-Down Arrow 2"/>
                <wp:cNvGraphicFramePr/>
                <a:graphic xmlns:a="http://schemas.openxmlformats.org/drawingml/2006/main">
                  <a:graphicData uri="http://schemas.microsoft.com/office/word/2010/wordprocessingShape">
                    <wps:wsp>
                      <wps:cNvSpPr>
                        <a:spLocks noChangeArrowheads="1"/>
                      </wps:cNvSpPr>
                      <wps:spPr bwMode="auto">
                        <a:xfrm>
                          <a:off x="0" y="0"/>
                          <a:ext cx="990600" cy="4333875"/>
                        </a:xfrm>
                        <a:prstGeom prst="upDownArrow">
                          <a:avLst>
                            <a:gd name="adj1" fmla="val 50000"/>
                            <a:gd name="adj2" fmla="val 50009"/>
                          </a:avLst>
                        </a:prstGeom>
                        <a:gradFill rotWithShape="1">
                          <a:gsLst>
                            <a:gs pos="0">
                              <a:srgbClr val="FFFFFF"/>
                            </a:gs>
                            <a:gs pos="39999">
                              <a:srgbClr val="FEFEFE"/>
                            </a:gs>
                            <a:gs pos="100000">
                              <a:srgbClr val="7C7C7C"/>
                            </a:gs>
                          </a:gsLst>
                          <a:path path="rect">
                            <a:fillToRect l="50000" t="-80000" r="50000" b="180000"/>
                          </a:path>
                        </a:gradFill>
                        <a:ln w="25400">
                          <a:solidFill>
                            <a:srgbClr val="4F81BD"/>
                          </a:solidFill>
                          <a:miter lim="800000"/>
                        </a:ln>
                      </wps:spPr>
                      <wps:txbx>
                        <w:txbxContent>
                          <w:p>
                            <w:pPr>
                              <w:jc w:val="center"/>
                            </w:pPr>
                          </w:p>
                        </w:txbxContent>
                      </wps:txbx>
                      <wps:bodyPr rot="0" vert="horz" wrap="square" lIns="91440" tIns="45720" rIns="91440" bIns="45720" anchor="ctr" anchorCtr="0" upright="1">
                        <a:noAutofit/>
                      </wps:bodyPr>
                    </wps:wsp>
                  </a:graphicData>
                </a:graphic>
              </wp:anchor>
            </w:drawing>
          </mc:Choice>
          <mc:Fallback>
            <w:pict>
              <v:shape id="Up-Down Arrow 2" o:spid="_x0000_s1026" o:spt="70" type="#_x0000_t70" style="position:absolute;left:0pt;margin-left:214.85pt;margin-top:60.3pt;height:341.25pt;width:78pt;z-index:251659264;v-text-anchor:middle;mso-width-relative:page;mso-height-relative:page;" fillcolor="#FFFFFF" filled="t" stroked="t" coordsize="21600,21600" o:gfxdata="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B6ttVt2gAAAAsBAAAPAAAAAAAA&#10;AAEAIAAAACIAAABkcnMvZG93bnJldi54bWxQSwECFAAUAAAACACHTuJAMjs7KrsCAADOBQAADgAA&#10;AAAAAAABACAAAAApAQAAZHJzL2Uyb0RvYy54bWxQSwUGAAAAAAYABgBZAQAAVgYAAAAA&#10;" adj="5400,2469">
                <v:fill type="gradientRadial" on="t" color2="#7C7C7C" colors="0f #FFFFFF;26214f #FEFEFE;65536f #7C7C7C" focus="100%" focussize="0f,0f" focusposition="32768f,-52429f" rotate="t">
                  <o:fill type="gradientCenter" v:ext="backwardCompatible"/>
                </v:fill>
                <v:stroke weight="2pt" color="#4F81BD" miterlimit="8" joinstyle="miter"/>
                <v:imagedata o:title=""/>
                <o:lock v:ext="edit" aspectratio="f"/>
                <v:textbox>
                  <w:txbxContent>
                    <w:p>
                      <w:pPr>
                        <w:jc w:val="center"/>
                      </w:pPr>
                    </w:p>
                  </w:txbxContent>
                </v:textbox>
              </v:shape>
            </w:pict>
          </mc:Fallback>
        </mc:AlternateContent>
      </w:r>
      <w:r>
        <w:rPr>
          <w:lang w:val="en-US"/>
        </w:rPr>
        <mc:AlternateContent>
          <mc:Choice Requires="wps">
            <w:drawing>
              <wp:anchor distT="0" distB="0" distL="114300" distR="114300" simplePos="0" relativeHeight="251662336" behindDoc="0" locked="0" layoutInCell="1" allowOverlap="1">
                <wp:simplePos x="0" y="0"/>
                <wp:positionH relativeFrom="column">
                  <wp:posOffset>-276225</wp:posOffset>
                </wp:positionH>
                <wp:positionV relativeFrom="paragraph">
                  <wp:posOffset>50800</wp:posOffset>
                </wp:positionV>
                <wp:extent cx="7124700" cy="65722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7124700" cy="657225"/>
                        </a:xfrm>
                        <a:prstGeom prst="rect">
                          <a:avLst/>
                        </a:prstGeom>
                        <a:noFill/>
                        <a:ln>
                          <a:noFill/>
                        </a:ln>
                        <a:effectLst/>
                      </wps:spPr>
                      <wps:txbx>
                        <w:txbxContent>
                          <w:p>
                            <w:pPr>
                              <w:jc w:val="center"/>
                              <w:rPr>
                                <w:rFonts w:ascii="Courier New" w:hAnsi="Courier New" w:cs="Courier New"/>
                              </w:rPr>
                            </w:pPr>
                            <w:r>
                              <w:rPr>
                                <w:rFonts w:ascii="Courier New" w:hAnsi="Courier New" w:cs="Courier New"/>
                                <w:b/>
                                <w:bCs/>
                                <w:color w:val="000000"/>
                                <w:sz w:val="56"/>
                                <w:szCs w:val="56"/>
                              </w:rPr>
                              <w:t xml:space="preserve">TRIWULAN I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75pt;margin-top:4pt;height:51.75pt;width:561pt;z-index:251662336;mso-width-relative:page;mso-height-relative:page;" filled="f" stroked="f" coordsize="21600,21600" o:gfxdata="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HmQMb9cAAAAKAQAADwAAAAAAAAABACAAAAAiAAAAZHJzL2Rvd25yZXYueG1sUEsBAhQAFAAAAAgA&#10;h07iQGYyhn4mAgAAagQAAA4AAAAAAAAAAQAgAAAAJgEAAGRycy9lMm9Eb2MueG1sUEsFBgAAAAAG&#10;AAYAWQEAAL4FAAAAAA==&#10;">
                <v:fill on="f" focussize="0,0"/>
                <v:stroke on="f"/>
                <v:imagedata o:title=""/>
                <o:lock v:ext="edit" aspectratio="f"/>
                <v:textbox>
                  <w:txbxContent>
                    <w:p>
                      <w:pPr>
                        <w:jc w:val="center"/>
                        <w:rPr>
                          <w:rFonts w:ascii="Courier New" w:hAnsi="Courier New" w:cs="Courier New"/>
                        </w:rPr>
                      </w:pPr>
                      <w:r>
                        <w:rPr>
                          <w:rFonts w:ascii="Courier New" w:hAnsi="Courier New" w:cs="Courier New"/>
                          <w:b/>
                          <w:bCs/>
                          <w:color w:val="000000"/>
                          <w:sz w:val="56"/>
                          <w:szCs w:val="56"/>
                        </w:rPr>
                        <w:t xml:space="preserve">TRIWULAN I </w:t>
                      </w:r>
                    </w:p>
                  </w:txbxContent>
                </v:textbox>
              </v:shape>
            </w:pict>
          </mc:Fallback>
        </mc:AlternateContent>
      </w:r>
      <w:r>
        <w:rPr>
          <w:rFonts w:ascii="Arial" w:hAnsi="Arial" w:cs="Arial"/>
          <w:b/>
          <w:bCs/>
          <w:color w:val="000000"/>
          <w:sz w:val="40"/>
          <w:szCs w:val="40"/>
          <w:lang w:val="en-US"/>
        </w:rPr>
        <w:br w:type="textWrapping"/>
      </w: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p>
    <w:p>
      <w:pPr>
        <w:spacing w:after="0" w:line="360" w:lineRule="auto"/>
        <w:jc w:val="center"/>
        <w:rPr>
          <w:rFonts w:ascii="Arial" w:hAnsi="Arial" w:cs="Arial"/>
          <w:b/>
          <w:bCs/>
          <w:sz w:val="24"/>
          <w:szCs w:val="24"/>
        </w:rPr>
      </w:pPr>
      <w:r>
        <w:rPr>
          <w:lang w:val="en-US"/>
        </w:rPr>
        <mc:AlternateContent>
          <mc:Choice Requires="wps">
            <w:drawing>
              <wp:anchor distT="0" distB="0" distL="114300" distR="114300" simplePos="0" relativeHeight="251663360" behindDoc="0" locked="0" layoutInCell="1" allowOverlap="1">
                <wp:simplePos x="0" y="0"/>
                <wp:positionH relativeFrom="column">
                  <wp:posOffset>1057275</wp:posOffset>
                </wp:positionH>
                <wp:positionV relativeFrom="paragraph">
                  <wp:posOffset>110490</wp:posOffset>
                </wp:positionV>
                <wp:extent cx="3612515" cy="954405"/>
                <wp:effectExtent l="0" t="0" r="0" b="0"/>
                <wp:wrapSquare wrapText="bothSides"/>
                <wp:docPr id="3" name="Text Box 1"/>
                <wp:cNvGraphicFramePr/>
                <a:graphic xmlns:a="http://schemas.openxmlformats.org/drawingml/2006/main">
                  <a:graphicData uri="http://schemas.microsoft.com/office/word/2010/wordprocessingShape">
                    <wps:wsp>
                      <wps:cNvSpPr txBox="1"/>
                      <wps:spPr>
                        <a:xfrm>
                          <a:off x="0" y="0"/>
                          <a:ext cx="3612515" cy="954405"/>
                        </a:xfrm>
                        <a:prstGeom prst="rect">
                          <a:avLst/>
                        </a:prstGeom>
                        <a:noFill/>
                        <a:ln>
                          <a:noFill/>
                        </a:ln>
                        <a:effectLst/>
                      </wps:spPr>
                      <wps:txbx>
                        <w:txbxContent>
                          <w:p>
                            <w:pPr>
                              <w:spacing w:after="0" w:line="240" w:lineRule="auto"/>
                              <w:jc w:val="center"/>
                              <w:rPr>
                                <w:rFonts w:ascii="Courier New" w:hAnsi="Courier New" w:cs="Courier New"/>
                                <w:b/>
                                <w:color w:val="1D1B11"/>
                                <w:spacing w:val="60"/>
                                <w:sz w:val="40"/>
                                <w:szCs w:val="40"/>
                                <w:lang w:val="en-US"/>
                              </w:rPr>
                            </w:pPr>
                            <w:r>
                              <w:rPr>
                                <w:rFonts w:ascii="Courier New" w:hAnsi="Courier New" w:cs="Courier New"/>
                                <w:b/>
                                <w:bCs/>
                                <w:color w:val="1D1B11"/>
                                <w:spacing w:val="60"/>
                                <w:sz w:val="40"/>
                                <w:szCs w:val="40"/>
                                <w:lang w:val="en-US"/>
                              </w:rPr>
                              <w:t>KECAMATAN ASTAMBUL</w:t>
                            </w:r>
                          </w:p>
                          <w:p>
                            <w:pPr>
                              <w:spacing w:after="0" w:line="240" w:lineRule="auto"/>
                              <w:jc w:val="center"/>
                              <w:rPr>
                                <w:rFonts w:ascii="Courier New" w:hAnsi="Courier New" w:cs="Courier New"/>
                                <w:b/>
                                <w:color w:val="1D1B11"/>
                                <w:spacing w:val="60"/>
                                <w:sz w:val="40"/>
                                <w:szCs w:val="40"/>
                              </w:rPr>
                            </w:pPr>
                            <w:r>
                              <w:rPr>
                                <w:rFonts w:ascii="Courier New" w:hAnsi="Courier New" w:cs="Courier New"/>
                                <w:b/>
                                <w:bCs/>
                                <w:color w:val="1D1B11"/>
                                <w:spacing w:val="60"/>
                                <w:sz w:val="40"/>
                                <w:szCs w:val="40"/>
                                <w:lang w:val="en-US"/>
                              </w:rPr>
                              <w:t>KABUPATEN BANJAR</w:t>
                            </w:r>
                          </w:p>
                          <w:p>
                            <w:pPr>
                              <w:spacing w:after="0" w:line="240" w:lineRule="auto"/>
                              <w:jc w:val="center"/>
                              <w:rPr>
                                <w:rFonts w:ascii="Courier New" w:hAnsi="Courier New" w:cs="Courier New"/>
                                <w:b/>
                                <w:color w:val="1D1B11"/>
                                <w:spacing w:val="60"/>
                                <w:sz w:val="40"/>
                                <w:szCs w:val="40"/>
                              </w:rPr>
                            </w:pPr>
                            <w:r>
                              <w:rPr>
                                <w:rFonts w:ascii="Courier New" w:hAnsi="Courier New" w:cs="Courier New"/>
                                <w:b/>
                                <w:color w:val="1D1B11"/>
                                <w:spacing w:val="60"/>
                                <w:sz w:val="40"/>
                                <w:szCs w:val="40"/>
                              </w:rPr>
                              <w:t>2023</w:t>
                            </w:r>
                          </w:p>
                        </w:txbxContent>
                      </wps:txbx>
                      <wps:bodyPr rot="0" spcFirstLastPara="0" vertOverflow="overflow" horzOverflow="overflow" vert="horz" wrap="none" lIns="91440" tIns="45720" rIns="91440" bIns="45720" numCol="1" spcCol="0" rtlCol="0" fromWordArt="0" anchor="t" anchorCtr="0" forceAA="0" compatLnSpc="1">
                        <a:prstTxWarp prst="textDeflateInflateDeflate">
                          <a:avLst/>
                        </a:prstTxWarp>
                        <a:spAutoFit/>
                      </wps:bodyPr>
                    </wps:wsp>
                  </a:graphicData>
                </a:graphic>
              </wp:anchor>
            </w:drawing>
          </mc:Choice>
          <mc:Fallback>
            <w:pict>
              <v:shape id="Text Box 1" o:spid="_x0000_s1026" o:spt="202" type="#_x0000_t202" style="position:absolute;left:0pt;margin-left:83.25pt;margin-top:8.7pt;height:75.15pt;width:284.45pt;mso-wrap-distance-bottom:0pt;mso-wrap-distance-left:9pt;mso-wrap-distance-right:9pt;mso-wrap-distance-top:0pt;mso-wrap-style:none;z-index:251663360;mso-width-relative:page;mso-height-relative:page;" filled="f" stroked="f" coordsize="21600,21600" o:gfxdata="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fEwP+tUAAAAKAQAADwAAAAAAAAABACAAAAAiAAAA&#10;ZHJzL2Rvd25yZXYueG1sUEsBAhQAFAAAAAgAh07iQF8yBzRDAgAAsAQAAA4AAAAAAAAAAQAgAAAA&#10;JAEAAGRycy9lMm9Eb2MueG1sUEsFBgAAAAAGAAYAWQEAANkFAAAAAA==&#10;">
                <v:fill on="f" focussize="0,0"/>
                <v:stroke on="f"/>
                <v:imagedata o:title=""/>
                <o:lock v:ext="edit" aspectratio="f"/>
                <v:textbox style="mso-fit-shape-to-text:t;">
                  <w:txbxContent>
                    <w:p>
                      <w:pPr>
                        <w:spacing w:after="0" w:line="240" w:lineRule="auto"/>
                        <w:jc w:val="center"/>
                        <w:rPr>
                          <w:rFonts w:ascii="Courier New" w:hAnsi="Courier New" w:cs="Courier New"/>
                          <w:b/>
                          <w:color w:val="1D1B11"/>
                          <w:spacing w:val="60"/>
                          <w:sz w:val="40"/>
                          <w:szCs w:val="40"/>
                          <w:lang w:val="en-US"/>
                        </w:rPr>
                      </w:pPr>
                      <w:r>
                        <w:rPr>
                          <w:rFonts w:ascii="Courier New" w:hAnsi="Courier New" w:cs="Courier New"/>
                          <w:b/>
                          <w:bCs/>
                          <w:color w:val="1D1B11"/>
                          <w:spacing w:val="60"/>
                          <w:sz w:val="40"/>
                          <w:szCs w:val="40"/>
                          <w:lang w:val="en-US"/>
                        </w:rPr>
                        <w:t>KECAMATAN ASTAMBUL</w:t>
                      </w:r>
                    </w:p>
                    <w:p>
                      <w:pPr>
                        <w:spacing w:after="0" w:line="240" w:lineRule="auto"/>
                        <w:jc w:val="center"/>
                        <w:rPr>
                          <w:rFonts w:ascii="Courier New" w:hAnsi="Courier New" w:cs="Courier New"/>
                          <w:b/>
                          <w:color w:val="1D1B11"/>
                          <w:spacing w:val="60"/>
                          <w:sz w:val="40"/>
                          <w:szCs w:val="40"/>
                        </w:rPr>
                      </w:pPr>
                      <w:r>
                        <w:rPr>
                          <w:rFonts w:ascii="Courier New" w:hAnsi="Courier New" w:cs="Courier New"/>
                          <w:b/>
                          <w:bCs/>
                          <w:color w:val="1D1B11"/>
                          <w:spacing w:val="60"/>
                          <w:sz w:val="40"/>
                          <w:szCs w:val="40"/>
                          <w:lang w:val="en-US"/>
                        </w:rPr>
                        <w:t>KABUPATEN BANJAR</w:t>
                      </w:r>
                    </w:p>
                    <w:p>
                      <w:pPr>
                        <w:spacing w:after="0" w:line="240" w:lineRule="auto"/>
                        <w:jc w:val="center"/>
                        <w:rPr>
                          <w:rFonts w:ascii="Courier New" w:hAnsi="Courier New" w:cs="Courier New"/>
                          <w:b/>
                          <w:color w:val="1D1B11"/>
                          <w:spacing w:val="60"/>
                          <w:sz w:val="40"/>
                          <w:szCs w:val="40"/>
                        </w:rPr>
                      </w:pPr>
                      <w:r>
                        <w:rPr>
                          <w:rFonts w:ascii="Courier New" w:hAnsi="Courier New" w:cs="Courier New"/>
                          <w:b/>
                          <w:color w:val="1D1B11"/>
                          <w:spacing w:val="60"/>
                          <w:sz w:val="40"/>
                          <w:szCs w:val="40"/>
                        </w:rPr>
                        <w:t>2023</w:t>
                      </w:r>
                    </w:p>
                  </w:txbxContent>
                </v:textbox>
                <w10:wrap type="square"/>
              </v:shape>
            </w:pict>
          </mc:Fallback>
        </mc:AlternateContent>
      </w:r>
    </w:p>
    <w:p>
      <w:pPr>
        <w:spacing w:after="0" w:line="360" w:lineRule="auto"/>
        <w:jc w:val="center"/>
        <w:rPr>
          <w:rFonts w:ascii="Arial" w:hAnsi="Arial" w:cs="Arial"/>
          <w:b/>
          <w:sz w:val="36"/>
          <w:szCs w:val="36"/>
        </w:rPr>
      </w:pPr>
    </w:p>
    <w:p>
      <w:pPr>
        <w:spacing w:after="0" w:line="360" w:lineRule="auto"/>
        <w:jc w:val="center"/>
        <w:rPr>
          <w:rFonts w:ascii="Arial" w:hAnsi="Arial" w:cs="Arial"/>
          <w:b/>
          <w:sz w:val="24"/>
          <w:szCs w:val="24"/>
        </w:rPr>
      </w:pPr>
    </w:p>
    <w:p>
      <w:pPr>
        <w:spacing w:after="0" w:line="360" w:lineRule="auto"/>
        <w:jc w:val="center"/>
        <w:rPr>
          <w:rFonts w:ascii="Arial" w:hAnsi="Arial" w:cs="Arial"/>
          <w:b/>
          <w:sz w:val="24"/>
          <w:szCs w:val="24"/>
        </w:rPr>
      </w:pPr>
    </w:p>
    <w:p>
      <w:pPr>
        <w:spacing w:after="0" w:line="360" w:lineRule="auto"/>
        <w:jc w:val="center"/>
        <w:rPr>
          <w:rFonts w:ascii="Arial" w:hAnsi="Arial" w:cs="Arial"/>
          <w:b/>
          <w:sz w:val="24"/>
          <w:szCs w:val="24"/>
        </w:rPr>
      </w:pPr>
    </w:p>
    <w:p>
      <w:pPr>
        <w:spacing w:after="0" w:line="360" w:lineRule="auto"/>
        <w:jc w:val="center"/>
        <w:rPr>
          <w:rFonts w:ascii="Arial" w:hAnsi="Arial" w:cs="Arial"/>
          <w:b/>
          <w:sz w:val="24"/>
          <w:szCs w:val="24"/>
        </w:rPr>
      </w:pPr>
    </w:p>
    <w:p>
      <w:pPr>
        <w:spacing w:after="0" w:line="360" w:lineRule="auto"/>
        <w:jc w:val="center"/>
        <w:rPr>
          <w:rFonts w:ascii="Arial" w:hAnsi="Arial" w:cs="Arial"/>
          <w:b/>
          <w:sz w:val="24"/>
          <w:szCs w:val="24"/>
        </w:rPr>
      </w:pPr>
      <w:r>
        <w:rPr>
          <w:rFonts w:ascii="Arial" w:hAnsi="Arial" w:cs="Arial"/>
          <w:b/>
          <w:sz w:val="24"/>
          <w:szCs w:val="24"/>
        </w:rPr>
        <w:t>BAB I</w:t>
      </w:r>
    </w:p>
    <w:p>
      <w:pPr>
        <w:spacing w:after="0" w:line="360" w:lineRule="auto"/>
        <w:jc w:val="center"/>
        <w:rPr>
          <w:rFonts w:ascii="Arial" w:hAnsi="Arial" w:cs="Arial"/>
          <w:b/>
          <w:sz w:val="24"/>
          <w:szCs w:val="24"/>
        </w:rPr>
      </w:pPr>
      <w:r>
        <w:rPr>
          <w:rFonts w:ascii="Arial" w:hAnsi="Arial" w:cs="Arial"/>
          <w:b/>
          <w:sz w:val="24"/>
          <w:szCs w:val="24"/>
        </w:rPr>
        <w:t>PENDAHULUAN</w:t>
      </w:r>
    </w:p>
    <w:p>
      <w:pPr>
        <w:pStyle w:val="15"/>
        <w:numPr>
          <w:ilvl w:val="1"/>
          <w:numId w:val="1"/>
        </w:numPr>
        <w:spacing w:after="0" w:line="360" w:lineRule="auto"/>
        <w:ind w:left="567" w:hanging="567"/>
        <w:rPr>
          <w:rFonts w:ascii="Arial" w:hAnsi="Arial" w:cs="Arial"/>
          <w:b/>
          <w:sz w:val="24"/>
          <w:szCs w:val="24"/>
        </w:rPr>
      </w:pPr>
      <w:r>
        <w:rPr>
          <w:rFonts w:ascii="Arial" w:hAnsi="Arial" w:cs="Arial"/>
          <w:b/>
          <w:sz w:val="24"/>
          <w:szCs w:val="24"/>
        </w:rPr>
        <w:t>Latar Belakang</w:t>
      </w:r>
    </w:p>
    <w:p>
      <w:pPr>
        <w:pStyle w:val="15"/>
        <w:spacing w:line="360" w:lineRule="auto"/>
        <w:ind w:left="567" w:firstLine="567"/>
        <w:jc w:val="both"/>
        <w:rPr>
          <w:rFonts w:ascii="Tahoma" w:hAnsi="Tahoma" w:cs="Tahoma"/>
          <w:color w:val="000000"/>
          <w:sz w:val="24"/>
          <w:szCs w:val="24"/>
          <w:lang w:val="en-US"/>
        </w:rPr>
      </w:pPr>
      <w:r>
        <w:rPr>
          <w:rFonts w:ascii="Arial" w:hAnsi="Arial" w:cs="Arial"/>
          <w:color w:val="000000"/>
          <w:sz w:val="24"/>
          <w:szCs w:val="24"/>
        </w:rPr>
        <w:t>Berdasarkan Peraturan Presiden Nomor 29 Tahun 2010 tentang Sistem Akuntabilitas</w:t>
      </w:r>
      <w:r>
        <w:rPr>
          <w:rFonts w:ascii="Arial" w:hAnsi="Arial" w:cs="Arial"/>
          <w:color w:val="000000"/>
          <w:sz w:val="24"/>
          <w:szCs w:val="24"/>
          <w:lang w:val="en-US"/>
        </w:rPr>
        <w:t xml:space="preserve"> </w:t>
      </w:r>
      <w:r>
        <w:rPr>
          <w:rFonts w:ascii="Arial" w:hAnsi="Arial" w:cs="Arial"/>
          <w:color w:val="000000"/>
          <w:sz w:val="24"/>
          <w:szCs w:val="24"/>
        </w:rPr>
        <w:t>Kinerja Instansi Pemerintah (SAKIP), dan Peraturan Menteri PAN dan Reformasi Birokrasi</w:t>
      </w:r>
      <w:r>
        <w:rPr>
          <w:rFonts w:ascii="Arial" w:hAnsi="Arial" w:cs="Arial"/>
          <w:color w:val="000000"/>
          <w:sz w:val="24"/>
          <w:szCs w:val="24"/>
          <w:lang w:val="en-US"/>
        </w:rPr>
        <w:t xml:space="preserve"> </w:t>
      </w:r>
      <w:r>
        <w:rPr>
          <w:rFonts w:ascii="Arial" w:hAnsi="Arial" w:cs="Arial"/>
          <w:color w:val="000000"/>
          <w:sz w:val="24"/>
          <w:szCs w:val="24"/>
        </w:rPr>
        <w:t>Nomor 53 Tahun 2014 tentang Petunjuk Teknis Perjanjian Kinerja, Pelaporan Kinerja dan Tata</w:t>
      </w:r>
      <w:r>
        <w:rPr>
          <w:rFonts w:ascii="Arial" w:hAnsi="Arial" w:cs="Arial"/>
          <w:color w:val="000000"/>
          <w:sz w:val="24"/>
          <w:szCs w:val="24"/>
          <w:lang w:val="en-US"/>
        </w:rPr>
        <w:t xml:space="preserve"> </w:t>
      </w:r>
      <w:r>
        <w:rPr>
          <w:rFonts w:ascii="Arial" w:hAnsi="Arial" w:cs="Arial"/>
          <w:color w:val="000000"/>
          <w:sz w:val="24"/>
          <w:szCs w:val="24"/>
        </w:rPr>
        <w:t>Cara Reviu atas Laporan Kinerja Instansi Pemerintah,</w:t>
      </w:r>
      <w:r>
        <w:rPr>
          <w:rFonts w:ascii="Arial" w:hAnsi="Arial" w:cs="Arial"/>
          <w:color w:val="000000"/>
          <w:sz w:val="24"/>
          <w:szCs w:val="24"/>
          <w:lang w:val="en-US"/>
        </w:rPr>
        <w:t xml:space="preserve"> </w:t>
      </w:r>
      <w:r>
        <w:rPr>
          <w:rFonts w:ascii="Tahoma" w:hAnsi="Tahoma" w:cs="Tahoma"/>
          <w:sz w:val="24"/>
          <w:szCs w:val="24"/>
        </w:rPr>
        <w:t>Tuntutan masyarakat terhadap penyelenggaraan pemerintahan yang baik dan bersih (</w:t>
      </w:r>
      <w:r>
        <w:rPr>
          <w:rFonts w:ascii="Tahoma" w:hAnsi="Tahoma" w:cs="Tahoma"/>
          <w:i/>
          <w:iCs/>
          <w:sz w:val="24"/>
          <w:szCs w:val="24"/>
        </w:rPr>
        <w:t>good governance dan clean government</w:t>
      </w:r>
      <w:r>
        <w:rPr>
          <w:rFonts w:ascii="Tahoma" w:hAnsi="Tahoma" w:cs="Tahoma"/>
          <w:sz w:val="24"/>
          <w:szCs w:val="24"/>
        </w:rPr>
        <w:t xml:space="preserve">) telah mendorong pemerintah dengan melakukan pengembangan dan penerapan sistem pertanggungjawaban yang jelas, tepat, teratur dan efektif yang dikenal dengan Sistem Akuntabilitas Kinerja Instansi Pemerintah (SAKIP). Akuntabilitas dipandang sebagai perwujudan kewajiban unit organisasi untuk mempertanggungjawabkan pengelolaan sumber daya dan pelaksanaan kebijakan yang dimandatkan kepada Kecamatan </w:t>
      </w:r>
      <w:r>
        <w:rPr>
          <w:rFonts w:ascii="Tahoma" w:hAnsi="Tahoma" w:cs="Tahoma"/>
          <w:sz w:val="24"/>
          <w:szCs w:val="24"/>
          <w:lang w:val="en-US"/>
        </w:rPr>
        <w:t>Astambul</w:t>
      </w:r>
      <w:r>
        <w:rPr>
          <w:rFonts w:ascii="Tahoma" w:hAnsi="Tahoma" w:cs="Tahoma"/>
          <w:sz w:val="24"/>
          <w:szCs w:val="24"/>
        </w:rPr>
        <w:t xml:space="preserve"> Kabupaten Banjar dalam rangka pencapaian tujuan yang telah ditetapkan melalui media pertanggungjawaban Laporan Capaian Kinerja per triwulan secara periodik.</w:t>
      </w:r>
      <w:r>
        <w:rPr>
          <w:rFonts w:ascii="Tahoma" w:hAnsi="Tahoma" w:cs="Tahoma"/>
          <w:color w:val="000000"/>
          <w:sz w:val="24"/>
          <w:szCs w:val="24"/>
        </w:rPr>
        <w:t xml:space="preserve"> </w:t>
      </w:r>
    </w:p>
    <w:p>
      <w:pPr>
        <w:pStyle w:val="15"/>
        <w:spacing w:line="360" w:lineRule="auto"/>
        <w:ind w:left="567" w:firstLine="567"/>
        <w:jc w:val="both"/>
        <w:rPr>
          <w:rFonts w:ascii="Tahoma" w:hAnsi="Tahoma" w:cs="Tahoma"/>
          <w:sz w:val="24"/>
          <w:szCs w:val="24"/>
          <w:lang w:val="en-US"/>
        </w:rPr>
      </w:pPr>
      <w:r>
        <w:rPr>
          <w:rFonts w:ascii="Tahoma" w:hAnsi="Tahoma" w:cs="Tahoma"/>
          <w:sz w:val="24"/>
          <w:szCs w:val="24"/>
        </w:rPr>
        <w:t xml:space="preserve">Laporan capaian kinerja per triwulan untuk tahun 2023 disusun sebagai perwujudan kewajiban suatu instansi pemerintah untuk mempertanggung jawabkan keberhasilan dan kegagalan pelaksanaan kinerja dalam mencapai sasaran dan tujuan yang telah ditetapkan untuk mendukung terwujudnya visi misi kepala daerah. Melalui laporan ini diharapkan potret kinerja Kecamatan </w:t>
      </w:r>
      <w:r>
        <w:rPr>
          <w:rFonts w:ascii="Tahoma" w:hAnsi="Tahoma" w:cs="Tahoma"/>
          <w:sz w:val="24"/>
          <w:szCs w:val="24"/>
          <w:lang w:val="en-US"/>
        </w:rPr>
        <w:t>Astambul</w:t>
      </w:r>
      <w:r>
        <w:rPr>
          <w:rFonts w:ascii="Tahoma" w:hAnsi="Tahoma" w:cs="Tahoma"/>
          <w:sz w:val="24"/>
          <w:szCs w:val="24"/>
        </w:rPr>
        <w:t xml:space="preserve"> Kabupaten Banjar dapat tergambar jelas sehingga usaha pencapaian kinerja lebih terarah dan terstruktur.</w:t>
      </w:r>
    </w:p>
    <w:p>
      <w:pPr>
        <w:pStyle w:val="15"/>
        <w:spacing w:line="360" w:lineRule="auto"/>
        <w:ind w:left="567" w:firstLine="567"/>
        <w:jc w:val="both"/>
        <w:rPr>
          <w:rFonts w:ascii="Tahoma" w:hAnsi="Tahoma" w:cs="Tahoma"/>
          <w:sz w:val="24"/>
          <w:szCs w:val="24"/>
          <w:lang w:val="en-US"/>
        </w:rPr>
      </w:pPr>
      <w:r>
        <w:rPr>
          <w:rFonts w:ascii="Tahoma" w:hAnsi="Tahoma" w:cs="Tahoma"/>
          <w:sz w:val="24"/>
          <w:szCs w:val="24"/>
        </w:rPr>
        <w:t>Laporan capaian kinerja per triwulan ini memberikan gambaran mengenai pencapaian indikator kinerja sasaran strategis, indikator kinerja program/ kegiatan serta keberhasilan maupun kegagalan tahun 2023 dan juga berperan sebagai alat kendali, alat penilaian kinerja dan alat pendorong terwujudnya good governance. Kemudian dalam perspektif yang luas, maka laporan capaian kinerja per triwulan berfungsi sebagai media pertanggungjawaban kepada publik.</w:t>
      </w:r>
    </w:p>
    <w:p>
      <w:pPr>
        <w:pStyle w:val="15"/>
        <w:spacing w:line="360" w:lineRule="auto"/>
        <w:ind w:left="567" w:firstLine="567"/>
        <w:jc w:val="both"/>
        <w:rPr>
          <w:rFonts w:ascii="Arial" w:hAnsi="Arial" w:cs="Arial"/>
          <w:color w:val="000000"/>
          <w:sz w:val="24"/>
          <w:szCs w:val="24"/>
          <w:lang w:val="en-US"/>
        </w:rPr>
      </w:pPr>
      <w:r>
        <w:rPr>
          <w:rFonts w:ascii="Arial" w:hAnsi="Arial" w:cs="Arial"/>
          <w:color w:val="000000"/>
          <w:sz w:val="24"/>
          <w:szCs w:val="24"/>
        </w:rPr>
        <w:t xml:space="preserve">Satuan Organisasi Kecamatan </w:t>
      </w:r>
      <w:r>
        <w:rPr>
          <w:rFonts w:ascii="Arial" w:hAnsi="Arial" w:cs="Arial"/>
          <w:color w:val="000000"/>
          <w:sz w:val="24"/>
          <w:szCs w:val="24"/>
          <w:lang w:val="en-US"/>
        </w:rPr>
        <w:t>Astambul</w:t>
      </w:r>
      <w:r>
        <w:rPr>
          <w:rFonts w:ascii="Arial" w:hAnsi="Arial" w:cs="Arial"/>
          <w:color w:val="000000"/>
          <w:sz w:val="24"/>
          <w:szCs w:val="24"/>
        </w:rPr>
        <w:t xml:space="preserve"> Kabupaten Banjar mempunyai tugas pokok dan kewajiban membantu Bupati dalam Pelaksana teknis dan koordinasi Kecamatan untuk mengelola sebagian urusan otonomi daerah dalam rangka pelaksanaan </w:t>
      </w:r>
      <w:r>
        <w:rPr>
          <w:rFonts w:ascii="Arial" w:hAnsi="Arial" w:cs="Arial"/>
          <w:b/>
          <w:bCs/>
          <w:i/>
          <w:iCs/>
          <w:color w:val="000000"/>
          <w:sz w:val="24"/>
          <w:szCs w:val="24"/>
        </w:rPr>
        <w:t xml:space="preserve">pemerintahan, pembangunan </w:t>
      </w:r>
      <w:r>
        <w:rPr>
          <w:rFonts w:ascii="Arial" w:hAnsi="Arial" w:cs="Arial"/>
          <w:color w:val="000000"/>
          <w:sz w:val="24"/>
          <w:szCs w:val="24"/>
        </w:rPr>
        <w:t xml:space="preserve">dan </w:t>
      </w:r>
      <w:r>
        <w:rPr>
          <w:rFonts w:ascii="Arial" w:hAnsi="Arial" w:cs="Arial"/>
          <w:b/>
          <w:bCs/>
          <w:i/>
          <w:iCs/>
          <w:color w:val="000000"/>
          <w:sz w:val="24"/>
          <w:szCs w:val="24"/>
        </w:rPr>
        <w:t xml:space="preserve">kemasyarakatan </w:t>
      </w:r>
      <w:r>
        <w:rPr>
          <w:rFonts w:ascii="Arial" w:hAnsi="Arial" w:cs="Arial"/>
          <w:color w:val="000000"/>
          <w:sz w:val="24"/>
          <w:szCs w:val="24"/>
        </w:rPr>
        <w:t xml:space="preserve">di wilayah Kecamatan dan kelurahan sesuai dengan Peraturan Daerah Kabupaten Banjar Nomor 13 Tahun 2016 tentang Pembentukan dan Susunan Perangkat Daerah dan Peraturan Bupati Banjar Nomor 104 Tahun 2016 tentang Kedudukan, Susunan Organisasi, Tugas dan Fungsi Serta Tata Kerja Kecamatan dan Kelurahan. </w:t>
      </w:r>
    </w:p>
    <w:p>
      <w:pPr>
        <w:pStyle w:val="15"/>
        <w:spacing w:line="360" w:lineRule="auto"/>
        <w:ind w:left="567" w:firstLine="567"/>
        <w:jc w:val="both"/>
        <w:rPr>
          <w:rFonts w:ascii="Arial" w:hAnsi="Arial" w:cs="Arial"/>
          <w:color w:val="000000"/>
          <w:sz w:val="24"/>
          <w:szCs w:val="24"/>
          <w:lang w:val="en-US"/>
        </w:rPr>
      </w:pPr>
      <w:r>
        <w:rPr>
          <w:rFonts w:ascii="Arial" w:hAnsi="Arial" w:cs="Arial"/>
          <w:color w:val="000000"/>
          <w:sz w:val="24"/>
          <w:szCs w:val="24"/>
        </w:rPr>
        <w:t xml:space="preserve">Kecamatan merupakan wilayah kerja Camat dan sebagai Perangkat Daerah yang dipimpin oleh seorang Camat yang melaksanakan tugas Pemerintahan Umum yang bertanggung jawab kepada Bupati Banjar melalui Sekretaris Daerah. </w:t>
      </w:r>
    </w:p>
    <w:p>
      <w:pPr>
        <w:pStyle w:val="15"/>
        <w:spacing w:line="360" w:lineRule="auto"/>
        <w:ind w:left="567" w:firstLine="567"/>
        <w:jc w:val="both"/>
        <w:rPr>
          <w:rFonts w:ascii="Tahoma" w:hAnsi="Tahoma" w:cs="Tahoma"/>
          <w:color w:val="000000"/>
          <w:sz w:val="24"/>
          <w:szCs w:val="24"/>
          <w:lang w:val="en-US"/>
        </w:rPr>
      </w:pPr>
      <w:r>
        <w:rPr>
          <w:rFonts w:ascii="Arial" w:hAnsi="Arial" w:cs="Arial"/>
          <w:color w:val="000000"/>
          <w:sz w:val="24"/>
          <w:szCs w:val="24"/>
        </w:rPr>
        <w:t>Tugas Pemerintahan Umum meliputi pelayanan umum, pemberdayaan masyarakat, ketentraman dan ketertiban umum, penegakan peraturan, pemeliharaan sarana porasarana umum, penyelenggaraan administrasi kependudukan, keagrariaan, perekonomian, pembangunan, monitoring dan pengawasan Pemerintahan Kelurahan dan Desa bekerjasama dengan dinas instansi yang berkepentingan.</w:t>
      </w:r>
    </w:p>
    <w:p>
      <w:pPr>
        <w:numPr>
          <w:ilvl w:val="4"/>
          <w:numId w:val="2"/>
        </w:numPr>
        <w:autoSpaceDE w:val="0"/>
        <w:autoSpaceDN w:val="0"/>
        <w:adjustRightInd w:val="0"/>
        <w:spacing w:after="0" w:line="360" w:lineRule="auto"/>
        <w:ind w:left="851" w:hanging="284"/>
        <w:rPr>
          <w:rFonts w:ascii="Arial" w:hAnsi="Arial" w:cs="Arial"/>
          <w:sz w:val="24"/>
          <w:szCs w:val="24"/>
          <w:lang w:val="zh-CN"/>
        </w:rPr>
      </w:pPr>
      <w:r>
        <w:rPr>
          <w:rFonts w:ascii="Arial" w:hAnsi="Arial" w:cs="Arial"/>
          <w:color w:val="000000"/>
          <w:sz w:val="24"/>
          <w:szCs w:val="24"/>
        </w:rPr>
        <w:t>Fungsi</w:t>
      </w:r>
    </w:p>
    <w:p>
      <w:pPr>
        <w:autoSpaceDE w:val="0"/>
        <w:autoSpaceDN w:val="0"/>
        <w:adjustRightInd w:val="0"/>
        <w:spacing w:after="0" w:line="360" w:lineRule="auto"/>
        <w:ind w:left="851"/>
        <w:rPr>
          <w:rFonts w:ascii="Arial" w:hAnsi="Arial" w:cs="Arial"/>
          <w:sz w:val="24"/>
          <w:szCs w:val="24"/>
          <w:lang w:val="zh-CN"/>
        </w:rPr>
      </w:pPr>
      <w:r>
        <w:rPr>
          <w:rFonts w:ascii="Arial" w:hAnsi="Arial" w:cs="Arial"/>
          <w:color w:val="000000"/>
          <w:sz w:val="24"/>
          <w:szCs w:val="24"/>
        </w:rPr>
        <w:t xml:space="preserve">Penyusunan rencana pengendalian dan evaluasi pelaksanaan serta penyusunan pelaporan; </w:t>
      </w:r>
    </w:p>
    <w:p>
      <w:pPr>
        <w:numPr>
          <w:ilvl w:val="1"/>
          <w:numId w:val="3"/>
        </w:numPr>
        <w:autoSpaceDE w:val="0"/>
        <w:autoSpaceDN w:val="0"/>
        <w:adjustRightInd w:val="0"/>
        <w:spacing w:after="0" w:line="360" w:lineRule="auto"/>
        <w:ind w:left="1276"/>
        <w:jc w:val="both"/>
        <w:rPr>
          <w:rFonts w:ascii="Arial" w:hAnsi="Arial" w:cs="Arial"/>
          <w:color w:val="000000"/>
          <w:sz w:val="24"/>
          <w:szCs w:val="24"/>
        </w:rPr>
      </w:pPr>
      <w:r>
        <w:rPr>
          <w:rFonts w:ascii="Arial" w:hAnsi="Arial" w:cs="Arial"/>
          <w:color w:val="000000"/>
          <w:sz w:val="24"/>
          <w:szCs w:val="24"/>
        </w:rPr>
        <w:t xml:space="preserve">Pelaksanaan tata usaha umum, kepegawaian dan perlengkapan rumah tangga; </w:t>
      </w:r>
    </w:p>
    <w:p>
      <w:pPr>
        <w:numPr>
          <w:ilvl w:val="1"/>
          <w:numId w:val="3"/>
        </w:numPr>
        <w:autoSpaceDE w:val="0"/>
        <w:autoSpaceDN w:val="0"/>
        <w:adjustRightInd w:val="0"/>
        <w:spacing w:after="0" w:line="360" w:lineRule="auto"/>
        <w:ind w:left="1276"/>
        <w:jc w:val="both"/>
        <w:rPr>
          <w:rFonts w:ascii="Arial" w:hAnsi="Arial" w:cs="Arial"/>
          <w:color w:val="000000"/>
          <w:sz w:val="24"/>
          <w:szCs w:val="24"/>
        </w:rPr>
      </w:pPr>
      <w:r>
        <w:rPr>
          <w:rFonts w:ascii="Arial" w:hAnsi="Arial" w:cs="Arial"/>
          <w:color w:val="000000"/>
          <w:sz w:val="24"/>
          <w:szCs w:val="24"/>
        </w:rPr>
        <w:t xml:space="preserve">Pengelolaan urusan keuangan dan administrasi kecamatan; </w:t>
      </w:r>
    </w:p>
    <w:p>
      <w:pPr>
        <w:numPr>
          <w:ilvl w:val="1"/>
          <w:numId w:val="3"/>
        </w:numPr>
        <w:autoSpaceDE w:val="0"/>
        <w:autoSpaceDN w:val="0"/>
        <w:adjustRightInd w:val="0"/>
        <w:spacing w:after="0" w:line="360" w:lineRule="auto"/>
        <w:ind w:left="1276"/>
        <w:jc w:val="both"/>
        <w:rPr>
          <w:rFonts w:ascii="Arial" w:hAnsi="Arial" w:cs="Arial"/>
          <w:color w:val="000000"/>
          <w:sz w:val="24"/>
          <w:szCs w:val="24"/>
        </w:rPr>
      </w:pPr>
      <w:r>
        <w:rPr>
          <w:rFonts w:ascii="Arial" w:hAnsi="Arial" w:cs="Arial"/>
          <w:color w:val="000000"/>
          <w:sz w:val="24"/>
          <w:szCs w:val="24"/>
        </w:rPr>
        <w:t xml:space="preserve">Pengelolaan urusan umum, evaluasi dan pelaporan; dan </w:t>
      </w:r>
    </w:p>
    <w:p>
      <w:pPr>
        <w:numPr>
          <w:ilvl w:val="1"/>
          <w:numId w:val="3"/>
        </w:numPr>
        <w:autoSpaceDE w:val="0"/>
        <w:autoSpaceDN w:val="0"/>
        <w:adjustRightInd w:val="0"/>
        <w:spacing w:after="0" w:line="360" w:lineRule="auto"/>
        <w:ind w:left="1276"/>
        <w:jc w:val="both"/>
        <w:rPr>
          <w:rFonts w:ascii="Arial" w:hAnsi="Arial" w:cs="Arial"/>
          <w:color w:val="000000"/>
          <w:sz w:val="24"/>
          <w:szCs w:val="24"/>
        </w:rPr>
      </w:pPr>
      <w:r>
        <w:rPr>
          <w:rFonts w:ascii="Arial" w:hAnsi="Arial" w:cs="Arial"/>
          <w:color w:val="000000"/>
          <w:sz w:val="24"/>
          <w:szCs w:val="24"/>
        </w:rPr>
        <w:t xml:space="preserve">Pengordinasian urusan umum, perencanaan, evaluasi dan pelaporan Lintas SKPD berkepentingan yang mewajibkan melaksanakan tugas teknis di Kecamatan Astambul Dalam rangka untuk melaksanaan pembinaan tersebut maka selalu berkonsultasi dan berkoordinasi dengan </w:t>
      </w:r>
    </w:p>
    <w:p>
      <w:pPr>
        <w:numPr>
          <w:ilvl w:val="0"/>
          <w:numId w:val="4"/>
        </w:numPr>
        <w:autoSpaceDE w:val="0"/>
        <w:autoSpaceDN w:val="0"/>
        <w:adjustRightInd w:val="0"/>
        <w:spacing w:after="0" w:line="360" w:lineRule="auto"/>
        <w:ind w:left="1843" w:hanging="425"/>
        <w:jc w:val="both"/>
        <w:rPr>
          <w:rFonts w:ascii="Arial" w:hAnsi="Arial" w:cs="Arial"/>
          <w:color w:val="000000"/>
          <w:sz w:val="24"/>
          <w:szCs w:val="24"/>
        </w:rPr>
      </w:pPr>
      <w:r>
        <w:rPr>
          <w:rFonts w:ascii="Arial" w:hAnsi="Arial" w:cs="Arial"/>
          <w:color w:val="000000"/>
          <w:sz w:val="24"/>
          <w:szCs w:val="24"/>
        </w:rPr>
        <w:t xml:space="preserve">Dinas / Instansi baik di daerah sesama daerah maupun pusat </w:t>
      </w:r>
    </w:p>
    <w:p>
      <w:pPr>
        <w:numPr>
          <w:ilvl w:val="0"/>
          <w:numId w:val="4"/>
        </w:numPr>
        <w:autoSpaceDE w:val="0"/>
        <w:autoSpaceDN w:val="0"/>
        <w:adjustRightInd w:val="0"/>
        <w:spacing w:after="0"/>
        <w:ind w:left="1843" w:hanging="425"/>
        <w:jc w:val="both"/>
        <w:rPr>
          <w:rFonts w:ascii="Arial" w:hAnsi="Arial" w:cs="Arial"/>
          <w:color w:val="000000"/>
          <w:sz w:val="24"/>
          <w:szCs w:val="24"/>
        </w:rPr>
      </w:pPr>
      <w:r>
        <w:rPr>
          <w:rFonts w:ascii="Arial" w:hAnsi="Arial" w:cs="Arial"/>
          <w:color w:val="000000"/>
          <w:sz w:val="24"/>
          <w:szCs w:val="24"/>
        </w:rPr>
        <w:t xml:space="preserve">Tokoh Ulama, Tokoh Masyarakat, dan Kelompok lapisan/organisasi masyarakat lainnya. </w:t>
      </w:r>
    </w:p>
    <w:p>
      <w:pPr>
        <w:pStyle w:val="15"/>
        <w:spacing w:after="0" w:line="240" w:lineRule="auto"/>
        <w:ind w:left="360"/>
        <w:rPr>
          <w:rFonts w:ascii="Arial" w:hAnsi="Arial" w:cs="Arial"/>
          <w:sz w:val="24"/>
          <w:szCs w:val="24"/>
        </w:rPr>
      </w:pPr>
    </w:p>
    <w:p>
      <w:pPr>
        <w:pStyle w:val="15"/>
        <w:numPr>
          <w:ilvl w:val="1"/>
          <w:numId w:val="1"/>
        </w:numPr>
        <w:spacing w:after="0" w:line="360" w:lineRule="auto"/>
        <w:ind w:left="567" w:hanging="567"/>
        <w:rPr>
          <w:rFonts w:ascii="Arial" w:hAnsi="Arial" w:cs="Arial"/>
          <w:b/>
          <w:sz w:val="24"/>
          <w:szCs w:val="24"/>
        </w:rPr>
      </w:pPr>
      <w:r>
        <w:rPr>
          <w:rFonts w:ascii="Arial" w:hAnsi="Arial" w:cs="Arial"/>
          <w:b/>
          <w:sz w:val="24"/>
          <w:szCs w:val="24"/>
          <w:lang w:val="en-US"/>
        </w:rPr>
        <w:t>Maksud dan Tujuan</w:t>
      </w:r>
    </w:p>
    <w:p>
      <w:pPr>
        <w:autoSpaceDE w:val="0"/>
        <w:autoSpaceDN w:val="0"/>
        <w:adjustRightInd w:val="0"/>
        <w:spacing w:after="0" w:line="360" w:lineRule="auto"/>
        <w:ind w:left="567"/>
        <w:jc w:val="both"/>
        <w:rPr>
          <w:rFonts w:ascii="Arial" w:hAnsi="Arial" w:cs="Arial"/>
          <w:bCs/>
          <w:sz w:val="24"/>
          <w:szCs w:val="24"/>
          <w:lang w:val="en-US"/>
        </w:rPr>
      </w:pPr>
      <w:r>
        <w:rPr>
          <w:rFonts w:ascii="Arial" w:hAnsi="Arial" w:cs="Arial"/>
          <w:bCs/>
          <w:sz w:val="24"/>
          <w:szCs w:val="24"/>
        </w:rPr>
        <w:t>Maksud penyusunan Laporan Kinerja ini adalah :</w:t>
      </w:r>
    </w:p>
    <w:p>
      <w:pPr>
        <w:pStyle w:val="15"/>
        <w:numPr>
          <w:ilvl w:val="2"/>
          <w:numId w:val="1"/>
        </w:numPr>
        <w:autoSpaceDE w:val="0"/>
        <w:autoSpaceDN w:val="0"/>
        <w:adjustRightInd w:val="0"/>
        <w:spacing w:after="0" w:line="360" w:lineRule="auto"/>
        <w:jc w:val="both"/>
        <w:rPr>
          <w:rFonts w:ascii="Arial" w:hAnsi="Arial" w:cs="Arial"/>
          <w:bCs/>
          <w:sz w:val="24"/>
          <w:szCs w:val="24"/>
          <w:lang w:val="en-US"/>
        </w:rPr>
      </w:pPr>
      <w:r>
        <w:rPr>
          <w:rFonts w:ascii="Arial" w:hAnsi="Arial" w:cs="Arial"/>
          <w:bCs/>
          <w:sz w:val="24"/>
          <w:szCs w:val="24"/>
        </w:rPr>
        <w:t>Sebagai bentuk pertanggungjawaban tertulis atas pencapaian Kinerja Pemerintah</w:t>
      </w:r>
      <w:r>
        <w:rPr>
          <w:rFonts w:ascii="Arial" w:hAnsi="Arial" w:cs="Arial"/>
          <w:bCs/>
          <w:sz w:val="24"/>
          <w:szCs w:val="24"/>
          <w:lang w:val="en-US"/>
        </w:rPr>
        <w:t xml:space="preserve"> Kecamatan Astambul </w:t>
      </w:r>
      <w:r>
        <w:rPr>
          <w:rFonts w:ascii="Arial" w:hAnsi="Arial" w:cs="Arial"/>
          <w:bCs/>
          <w:sz w:val="24"/>
          <w:szCs w:val="24"/>
        </w:rPr>
        <w:t>Kabupaten Banjar sampai dengan Triwulan 1 Tahun 2023.</w:t>
      </w:r>
      <w:r>
        <w:rPr>
          <w:rFonts w:ascii="Arial" w:hAnsi="Arial" w:cs="Arial"/>
          <w:color w:val="000000"/>
          <w:sz w:val="24"/>
          <w:szCs w:val="24"/>
        </w:rPr>
        <w:t xml:space="preserve">. </w:t>
      </w:r>
    </w:p>
    <w:p>
      <w:pPr>
        <w:pStyle w:val="15"/>
        <w:ind w:left="567"/>
        <w:rPr>
          <w:rFonts w:ascii="Arial" w:hAnsi="Arial" w:cs="Arial"/>
          <w:color w:val="000000"/>
          <w:sz w:val="24"/>
          <w:szCs w:val="24"/>
          <w:lang w:val="en-US"/>
        </w:rPr>
      </w:pPr>
      <w:r>
        <w:rPr>
          <w:rFonts w:ascii="Arial" w:hAnsi="Arial" w:cs="Arial"/>
          <w:color w:val="000000"/>
          <w:sz w:val="24"/>
          <w:szCs w:val="24"/>
        </w:rPr>
        <w:t>Tujuan penyusunan Laporan Kinerja ini adalah :</w:t>
      </w:r>
    </w:p>
    <w:p>
      <w:pPr>
        <w:pStyle w:val="15"/>
        <w:numPr>
          <w:ilvl w:val="2"/>
          <w:numId w:val="1"/>
        </w:numPr>
        <w:rPr>
          <w:rFonts w:ascii="Arial" w:hAnsi="Arial" w:cs="Arial"/>
          <w:color w:val="000000"/>
          <w:sz w:val="24"/>
          <w:szCs w:val="24"/>
          <w:lang w:val="en-US"/>
        </w:rPr>
      </w:pPr>
      <w:r>
        <w:rPr>
          <w:rFonts w:ascii="Arial" w:hAnsi="Arial" w:cs="Arial"/>
          <w:color w:val="000000"/>
          <w:sz w:val="24"/>
          <w:szCs w:val="24"/>
        </w:rPr>
        <w:t>Memberikan informasi kinerja yang terukur atas pencapaian Kinerja yang telah dan</w:t>
      </w:r>
      <w:r>
        <w:rPr>
          <w:rFonts w:ascii="Arial" w:hAnsi="Arial" w:cs="Arial"/>
          <w:color w:val="000000"/>
          <w:sz w:val="24"/>
          <w:szCs w:val="24"/>
          <w:lang w:val="en-US"/>
        </w:rPr>
        <w:t xml:space="preserve"> </w:t>
      </w:r>
      <w:r>
        <w:rPr>
          <w:rFonts w:ascii="Arial" w:hAnsi="Arial" w:cs="Arial"/>
          <w:color w:val="000000"/>
          <w:sz w:val="24"/>
          <w:szCs w:val="24"/>
        </w:rPr>
        <w:t xml:space="preserve">seharusnya dicapai oleh Pemerintah </w:t>
      </w:r>
      <w:r>
        <w:rPr>
          <w:rFonts w:ascii="Arial" w:hAnsi="Arial" w:cs="Arial"/>
          <w:color w:val="000000"/>
          <w:sz w:val="24"/>
          <w:szCs w:val="24"/>
          <w:lang w:val="en-US"/>
        </w:rPr>
        <w:t xml:space="preserve">Kecamatan Astambul </w:t>
      </w:r>
      <w:r>
        <w:rPr>
          <w:rFonts w:ascii="Arial" w:hAnsi="Arial" w:cs="Arial"/>
          <w:color w:val="000000"/>
          <w:sz w:val="24"/>
          <w:szCs w:val="24"/>
        </w:rPr>
        <w:t>Kabupaten Banjar sampai dengan Triwulan 1 Tahun</w:t>
      </w:r>
      <w:r>
        <w:rPr>
          <w:rFonts w:ascii="Arial" w:hAnsi="Arial" w:cs="Arial"/>
          <w:color w:val="000000"/>
          <w:sz w:val="24"/>
          <w:szCs w:val="24"/>
          <w:lang w:val="en-US"/>
        </w:rPr>
        <w:t xml:space="preserve"> </w:t>
      </w:r>
      <w:r>
        <w:rPr>
          <w:rFonts w:ascii="Arial" w:hAnsi="Arial" w:cs="Arial"/>
          <w:color w:val="000000"/>
          <w:sz w:val="24"/>
          <w:szCs w:val="24"/>
        </w:rPr>
        <w:t>2023.</w:t>
      </w:r>
    </w:p>
    <w:p>
      <w:pPr>
        <w:pStyle w:val="15"/>
        <w:ind w:left="993"/>
        <w:rPr>
          <w:rFonts w:ascii="Arial" w:hAnsi="Arial" w:cs="Arial"/>
          <w:color w:val="000000"/>
          <w:sz w:val="24"/>
          <w:szCs w:val="24"/>
        </w:rPr>
      </w:pPr>
    </w:p>
    <w:p>
      <w:pPr>
        <w:pStyle w:val="15"/>
        <w:widowControl w:val="0"/>
        <w:numPr>
          <w:ilvl w:val="1"/>
          <w:numId w:val="5"/>
        </w:numPr>
        <w:autoSpaceDE w:val="0"/>
        <w:autoSpaceDN w:val="0"/>
        <w:adjustRightInd w:val="0"/>
        <w:spacing w:after="120" w:line="240" w:lineRule="auto"/>
        <w:ind w:left="567"/>
        <w:contextualSpacing w:val="0"/>
        <w:rPr>
          <w:rFonts w:ascii="Arial" w:hAnsi="Arial" w:cs="Arial"/>
          <w:b/>
          <w:sz w:val="24"/>
          <w:szCs w:val="24"/>
        </w:rPr>
      </w:pPr>
      <w:r>
        <w:rPr>
          <w:rFonts w:ascii="Arial" w:hAnsi="Arial" w:cs="Arial"/>
          <w:b/>
          <w:sz w:val="24"/>
          <w:szCs w:val="24"/>
        </w:rPr>
        <w:t>Dasar Hukum</w:t>
      </w:r>
    </w:p>
    <w:p>
      <w:pPr>
        <w:pStyle w:val="15"/>
        <w:widowControl w:val="0"/>
        <w:numPr>
          <w:ilvl w:val="0"/>
          <w:numId w:val="6"/>
        </w:numPr>
        <w:autoSpaceDE w:val="0"/>
        <w:autoSpaceDN w:val="0"/>
        <w:adjustRightInd w:val="0"/>
        <w:spacing w:after="0" w:line="360" w:lineRule="auto"/>
        <w:ind w:left="1134"/>
        <w:jc w:val="both"/>
        <w:rPr>
          <w:rFonts w:ascii="Arial" w:hAnsi="Arial" w:cs="Arial"/>
          <w:sz w:val="24"/>
          <w:szCs w:val="24"/>
          <w:lang w:val="zh-CN"/>
        </w:rPr>
      </w:pPr>
      <w:r>
        <w:rPr>
          <w:rFonts w:ascii="Arial" w:hAnsi="Arial" w:cs="Arial"/>
          <w:sz w:val="24"/>
          <w:szCs w:val="24"/>
          <w:lang w:val="zh-CN"/>
        </w:rPr>
        <w:t>Peraturan Menteri Pendayagunaan Aparatur Negara dan Reformasi Birokrasi Nomor 53 Tahun 2014 tentang Petunjuk teknis Perjanjian Kinerja, Pelaporan Kinerja, dan Tata Cara Reviu atas Laporan Kinerja Instansi Pemerintah.</w:t>
      </w:r>
    </w:p>
    <w:p>
      <w:pPr>
        <w:pStyle w:val="15"/>
        <w:widowControl w:val="0"/>
        <w:numPr>
          <w:ilvl w:val="0"/>
          <w:numId w:val="5"/>
        </w:numPr>
        <w:autoSpaceDE w:val="0"/>
        <w:autoSpaceDN w:val="0"/>
        <w:adjustRightInd w:val="0"/>
        <w:spacing w:after="0" w:line="360" w:lineRule="auto"/>
        <w:contextualSpacing w:val="0"/>
        <w:jc w:val="both"/>
        <w:rPr>
          <w:rFonts w:ascii="Arial" w:hAnsi="Arial" w:cs="Arial"/>
          <w:sz w:val="24"/>
          <w:szCs w:val="24"/>
          <w:lang w:val="zh-CN"/>
        </w:rPr>
      </w:pPr>
      <w:r>
        <w:rPr>
          <w:rFonts w:ascii="Arial" w:hAnsi="Arial" w:cs="Arial"/>
          <w:sz w:val="24"/>
          <w:szCs w:val="24"/>
          <w:lang w:val="zh-CN"/>
        </w:rPr>
        <w:t xml:space="preserve">Peraturan Daerah Nomor 13 Tahun 2016 tentang </w:t>
      </w:r>
      <w:r>
        <w:rPr>
          <w:rFonts w:ascii="Arial" w:hAnsi="Arial" w:cs="Arial"/>
          <w:sz w:val="24"/>
          <w:szCs w:val="24"/>
        </w:rPr>
        <w:t>Pembentukan dan Susunan Perangkat Daerah Kabupaten Banjar</w:t>
      </w:r>
      <w:r>
        <w:rPr>
          <w:rFonts w:ascii="Arial" w:hAnsi="Arial" w:cs="Arial"/>
          <w:sz w:val="24"/>
          <w:szCs w:val="24"/>
          <w:lang w:val="zh-CN"/>
        </w:rPr>
        <w:t>.</w:t>
      </w:r>
    </w:p>
    <w:p>
      <w:pPr>
        <w:pStyle w:val="15"/>
        <w:widowControl w:val="0"/>
        <w:numPr>
          <w:ilvl w:val="0"/>
          <w:numId w:val="5"/>
        </w:numPr>
        <w:autoSpaceDE w:val="0"/>
        <w:autoSpaceDN w:val="0"/>
        <w:adjustRightInd w:val="0"/>
        <w:spacing w:after="0" w:line="360" w:lineRule="auto"/>
        <w:contextualSpacing w:val="0"/>
        <w:jc w:val="both"/>
        <w:rPr>
          <w:rFonts w:ascii="Arial" w:hAnsi="Arial" w:cs="Arial"/>
          <w:sz w:val="24"/>
          <w:szCs w:val="24"/>
          <w:lang w:val="zh-CN"/>
        </w:rPr>
      </w:pPr>
      <w:r>
        <w:rPr>
          <w:rFonts w:ascii="Arial" w:hAnsi="Arial" w:cs="Arial"/>
          <w:sz w:val="24"/>
          <w:szCs w:val="24"/>
          <w:lang w:val="zh-CN"/>
        </w:rPr>
        <w:t xml:space="preserve">Peraturan Bupati Nomor  </w:t>
      </w:r>
      <w:r>
        <w:rPr>
          <w:rFonts w:ascii="Arial" w:hAnsi="Arial" w:cs="Arial"/>
          <w:sz w:val="24"/>
          <w:szCs w:val="24"/>
        </w:rPr>
        <w:t>42</w:t>
      </w:r>
      <w:r>
        <w:rPr>
          <w:rFonts w:ascii="Arial" w:hAnsi="Arial" w:cs="Arial"/>
          <w:sz w:val="24"/>
          <w:szCs w:val="24"/>
          <w:lang w:val="zh-CN"/>
        </w:rPr>
        <w:t xml:space="preserve"> tahun 20</w:t>
      </w:r>
      <w:r>
        <w:rPr>
          <w:rFonts w:ascii="Arial" w:hAnsi="Arial" w:cs="Arial"/>
          <w:sz w:val="24"/>
          <w:szCs w:val="24"/>
        </w:rPr>
        <w:t>22</w:t>
      </w:r>
      <w:r>
        <w:rPr>
          <w:rFonts w:ascii="Arial" w:hAnsi="Arial" w:cs="Arial"/>
          <w:sz w:val="24"/>
          <w:szCs w:val="24"/>
          <w:lang w:val="zh-CN"/>
        </w:rPr>
        <w:t xml:space="preserve"> tentang </w:t>
      </w:r>
      <w:r>
        <w:rPr>
          <w:rFonts w:ascii="Arial" w:hAnsi="Arial" w:cs="Arial"/>
          <w:sz w:val="24"/>
          <w:szCs w:val="24"/>
        </w:rPr>
        <w:t>Uraian Tugas Kecamatan dan Kelurahan</w:t>
      </w:r>
    </w:p>
    <w:p>
      <w:pPr>
        <w:pStyle w:val="15"/>
        <w:rPr>
          <w:rFonts w:ascii="Bookman Old Style" w:hAnsi="Bookman Old Style"/>
          <w:sz w:val="24"/>
          <w:szCs w:val="24"/>
          <w:lang w:val="zh-CN"/>
        </w:rPr>
      </w:pPr>
    </w:p>
    <w:p>
      <w:pPr>
        <w:pStyle w:val="15"/>
        <w:rPr>
          <w:rFonts w:ascii="Bookman Old Style" w:hAnsi="Bookman Old Style"/>
          <w:sz w:val="24"/>
          <w:szCs w:val="24"/>
          <w:highlight w:val="lightGray"/>
          <w:lang w:val="zh-CN"/>
        </w:rPr>
      </w:pPr>
    </w:p>
    <w:p>
      <w:pPr>
        <w:pStyle w:val="15"/>
        <w:rPr>
          <w:rFonts w:ascii="Bookman Old Style" w:hAnsi="Bookman Old Style"/>
          <w:sz w:val="24"/>
          <w:szCs w:val="24"/>
          <w:highlight w:val="lightGray"/>
          <w:lang w:val="zh-CN"/>
        </w:rPr>
      </w:pPr>
    </w:p>
    <w:p>
      <w:pPr>
        <w:pStyle w:val="15"/>
        <w:rPr>
          <w:rFonts w:ascii="Bookman Old Style" w:hAnsi="Bookman Old Style"/>
          <w:sz w:val="24"/>
          <w:szCs w:val="24"/>
          <w:highlight w:val="lightGray"/>
          <w:lang w:val="zh-CN"/>
        </w:rPr>
      </w:pPr>
    </w:p>
    <w:p>
      <w:pPr>
        <w:pStyle w:val="15"/>
        <w:rPr>
          <w:rFonts w:ascii="Bookman Old Style" w:hAnsi="Bookman Old Style"/>
          <w:sz w:val="24"/>
          <w:szCs w:val="24"/>
          <w:highlight w:val="lightGray"/>
          <w:lang w:val="zh-CN"/>
        </w:rPr>
      </w:pPr>
    </w:p>
    <w:p>
      <w:pPr>
        <w:pStyle w:val="15"/>
        <w:rPr>
          <w:rFonts w:ascii="Bookman Old Style" w:hAnsi="Bookman Old Style"/>
          <w:sz w:val="24"/>
          <w:szCs w:val="24"/>
          <w:highlight w:val="lightGray"/>
          <w:lang w:val="zh-CN"/>
        </w:rPr>
      </w:pPr>
    </w:p>
    <w:p>
      <w:pPr>
        <w:pStyle w:val="15"/>
        <w:rPr>
          <w:rFonts w:ascii="Bookman Old Style" w:hAnsi="Bookman Old Style"/>
          <w:sz w:val="24"/>
          <w:szCs w:val="24"/>
          <w:highlight w:val="lightGray"/>
          <w:lang w:val="zh-CN"/>
        </w:rPr>
      </w:pPr>
    </w:p>
    <w:p>
      <w:pPr>
        <w:pStyle w:val="15"/>
        <w:rPr>
          <w:rFonts w:ascii="Bookman Old Style" w:hAnsi="Bookman Old Style"/>
          <w:sz w:val="24"/>
          <w:szCs w:val="24"/>
          <w:highlight w:val="lightGray"/>
          <w:lang w:val="zh-CN"/>
        </w:rPr>
      </w:pPr>
    </w:p>
    <w:p>
      <w:pPr>
        <w:pStyle w:val="15"/>
        <w:rPr>
          <w:rFonts w:ascii="Bookman Old Style" w:hAnsi="Bookman Old Style"/>
          <w:sz w:val="24"/>
          <w:szCs w:val="24"/>
          <w:highlight w:val="lightGray"/>
          <w:lang w:val="zh-CN"/>
        </w:rPr>
      </w:pPr>
    </w:p>
    <w:p>
      <w:pPr>
        <w:pStyle w:val="15"/>
        <w:rPr>
          <w:rFonts w:ascii="Bookman Old Style" w:hAnsi="Bookman Old Style"/>
          <w:sz w:val="24"/>
          <w:szCs w:val="24"/>
          <w:highlight w:val="lightGray"/>
          <w:lang w:val="zh-CN"/>
        </w:rPr>
      </w:pPr>
    </w:p>
    <w:p>
      <w:pPr>
        <w:pStyle w:val="15"/>
        <w:rPr>
          <w:rFonts w:ascii="Bookman Old Style" w:hAnsi="Bookman Old Style"/>
          <w:sz w:val="24"/>
          <w:szCs w:val="24"/>
          <w:highlight w:val="lightGray"/>
          <w:lang w:val="zh-CN"/>
        </w:rPr>
      </w:pPr>
    </w:p>
    <w:p>
      <w:pPr>
        <w:pStyle w:val="15"/>
        <w:rPr>
          <w:rFonts w:ascii="Bookman Old Style" w:hAnsi="Bookman Old Style"/>
          <w:sz w:val="24"/>
          <w:szCs w:val="24"/>
          <w:highlight w:val="lightGray"/>
          <w:lang w:val="zh-CN"/>
        </w:rPr>
      </w:pPr>
    </w:p>
    <w:p>
      <w:pPr>
        <w:pStyle w:val="15"/>
        <w:rPr>
          <w:rFonts w:ascii="Bookman Old Style" w:hAnsi="Bookman Old Style"/>
          <w:sz w:val="24"/>
          <w:szCs w:val="24"/>
          <w:highlight w:val="lightGray"/>
          <w:lang w:val="zh-CN"/>
        </w:rPr>
      </w:pPr>
    </w:p>
    <w:p>
      <w:pPr>
        <w:pStyle w:val="15"/>
        <w:ind w:left="0"/>
        <w:rPr>
          <w:rFonts w:ascii="Bookman Old Style" w:hAnsi="Bookman Old Style"/>
          <w:sz w:val="24"/>
          <w:szCs w:val="24"/>
          <w:highlight w:val="lightGray"/>
          <w:lang w:val="zh-CN"/>
        </w:rPr>
      </w:pPr>
    </w:p>
    <w:p>
      <w:pPr>
        <w:spacing w:after="0" w:line="360" w:lineRule="auto"/>
        <w:jc w:val="center"/>
        <w:rPr>
          <w:rFonts w:ascii="Arial" w:hAnsi="Arial" w:cs="Arial"/>
          <w:b/>
          <w:sz w:val="24"/>
          <w:szCs w:val="24"/>
        </w:rPr>
      </w:pPr>
      <w:r>
        <w:rPr>
          <w:rFonts w:ascii="Arial" w:hAnsi="Arial" w:cs="Arial"/>
          <w:b/>
          <w:sz w:val="24"/>
          <w:szCs w:val="24"/>
        </w:rPr>
        <w:br w:type="page"/>
      </w:r>
      <w:r>
        <w:rPr>
          <w:rFonts w:ascii="Arial" w:hAnsi="Arial" w:cs="Arial"/>
          <w:b/>
          <w:sz w:val="24"/>
          <w:szCs w:val="24"/>
        </w:rPr>
        <w:t>BAB II</w:t>
      </w:r>
    </w:p>
    <w:p>
      <w:pPr>
        <w:spacing w:after="0" w:line="360" w:lineRule="auto"/>
        <w:jc w:val="center"/>
        <w:rPr>
          <w:rFonts w:ascii="Arial" w:hAnsi="Arial" w:cs="Arial"/>
          <w:b/>
          <w:sz w:val="24"/>
          <w:szCs w:val="24"/>
          <w:lang w:val="en-US"/>
        </w:rPr>
      </w:pPr>
      <w:r>
        <w:rPr>
          <w:rFonts w:ascii="Arial" w:hAnsi="Arial" w:cs="Arial"/>
          <w:b/>
          <w:sz w:val="24"/>
          <w:szCs w:val="24"/>
        </w:rPr>
        <w:t>PERENCANAAN KINERJA</w:t>
      </w:r>
    </w:p>
    <w:p>
      <w:pPr>
        <w:pStyle w:val="23"/>
        <w:rPr>
          <w:rFonts w:ascii="Arial" w:hAnsi="Arial" w:cs="Arial"/>
          <w:b/>
          <w:color w:val="auto"/>
          <w:lang w:val="en-US"/>
        </w:rPr>
      </w:pPr>
    </w:p>
    <w:p>
      <w:pPr>
        <w:pStyle w:val="23"/>
        <w:tabs>
          <w:tab w:val="left" w:pos="709"/>
        </w:tabs>
        <w:spacing w:after="120"/>
        <w:rPr>
          <w:rFonts w:ascii="Arial" w:hAnsi="Arial" w:cs="Arial"/>
          <w:b/>
          <w:color w:val="auto"/>
        </w:rPr>
      </w:pPr>
      <w:r>
        <w:rPr>
          <w:rFonts w:ascii="Arial" w:hAnsi="Arial" w:cs="Arial"/>
          <w:b/>
          <w:color w:val="auto"/>
        </w:rPr>
        <w:t>2.1   Perencanaan Strategis</w:t>
      </w:r>
    </w:p>
    <w:p>
      <w:pPr>
        <w:pStyle w:val="23"/>
        <w:numPr>
          <w:ilvl w:val="3"/>
          <w:numId w:val="7"/>
        </w:numPr>
        <w:tabs>
          <w:tab w:val="left" w:pos="1134"/>
        </w:tabs>
        <w:ind w:hanging="2945"/>
        <w:jc w:val="both"/>
        <w:rPr>
          <w:rFonts w:ascii="Arial" w:hAnsi="Arial" w:cs="Arial"/>
          <w:b/>
          <w:color w:val="auto"/>
        </w:rPr>
      </w:pPr>
      <w:r>
        <w:rPr>
          <w:rFonts w:ascii="Arial" w:hAnsi="Arial" w:cs="Arial"/>
          <w:b/>
          <w:color w:val="auto"/>
        </w:rPr>
        <w:t xml:space="preserve"> </w:t>
      </w:r>
      <w:r>
        <w:rPr>
          <w:rFonts w:ascii="Arial" w:hAnsi="Arial" w:cs="Arial"/>
          <w:b/>
          <w:color w:val="auto"/>
          <w:lang w:val="zh-CN"/>
        </w:rPr>
        <w:t xml:space="preserve"> </w:t>
      </w:r>
      <w:r>
        <w:rPr>
          <w:rFonts w:ascii="Arial" w:hAnsi="Arial" w:cs="Arial"/>
          <w:b/>
          <w:color w:val="auto"/>
        </w:rPr>
        <w:t>Visi</w:t>
      </w:r>
    </w:p>
    <w:p>
      <w:pPr>
        <w:pStyle w:val="15"/>
        <w:tabs>
          <w:tab w:val="left" w:pos="1276"/>
        </w:tabs>
        <w:ind w:left="567"/>
        <w:jc w:val="both"/>
        <w:rPr>
          <w:rFonts w:ascii="Arial" w:hAnsi="Arial" w:cs="Arial"/>
          <w:bCs/>
          <w:sz w:val="24"/>
          <w:szCs w:val="24"/>
        </w:rPr>
      </w:pPr>
    </w:p>
    <w:p>
      <w:pPr>
        <w:pStyle w:val="15"/>
        <w:tabs>
          <w:tab w:val="left" w:pos="1276"/>
        </w:tabs>
        <w:spacing w:line="360" w:lineRule="auto"/>
        <w:ind w:left="709"/>
        <w:jc w:val="both"/>
        <w:rPr>
          <w:rFonts w:ascii="Arial" w:hAnsi="Arial" w:cs="Arial"/>
          <w:sz w:val="24"/>
          <w:szCs w:val="24"/>
          <w:lang w:val="sv-SE"/>
        </w:rPr>
      </w:pPr>
      <w:r>
        <w:rPr>
          <w:rFonts w:ascii="Arial" w:hAnsi="Arial" w:cs="Arial"/>
          <w:bCs/>
          <w:sz w:val="24"/>
          <w:szCs w:val="24"/>
        </w:rPr>
        <w:t xml:space="preserve">Dalam melaksanakan penyelenggaraan pemerintahan, </w:t>
      </w:r>
      <w:r>
        <w:rPr>
          <w:rFonts w:ascii="Arial" w:hAnsi="Arial" w:cs="Arial"/>
          <w:sz w:val="24"/>
          <w:szCs w:val="24"/>
          <w:lang w:val="sv-SE"/>
        </w:rPr>
        <w:t xml:space="preserve">Kecamatan </w:t>
      </w:r>
      <w:r>
        <w:rPr>
          <w:rFonts w:ascii="Arial" w:hAnsi="Arial" w:cs="Arial"/>
          <w:color w:val="000000"/>
          <w:sz w:val="24"/>
          <w:szCs w:val="24"/>
        </w:rPr>
        <w:t xml:space="preserve"> Astambul</w:t>
      </w:r>
      <w:r>
        <w:rPr>
          <w:rFonts w:ascii="Arial" w:hAnsi="Arial" w:cs="Arial"/>
          <w:sz w:val="24"/>
          <w:szCs w:val="24"/>
          <w:lang w:val="sv-SE"/>
        </w:rPr>
        <w:t xml:space="preserve"> yang memiliki orientasi terhadap pelayanan masyarakat 5 (lima) tahun kedepan, dengan mendukung visi misi </w:t>
      </w:r>
      <w:r>
        <w:rPr>
          <w:rFonts w:ascii="Arial" w:hAnsi="Arial" w:cs="Arial"/>
          <w:bCs/>
          <w:sz w:val="24"/>
          <w:szCs w:val="24"/>
          <w:lang w:val="zh-CN"/>
        </w:rPr>
        <w:t>Kepala Daerah Kabupaten Banjar yang tercantum dalam  Renstra &amp; RPJMD Kab Banjar Tahun 2021 - 2026</w:t>
      </w:r>
      <w:r>
        <w:rPr>
          <w:rFonts w:ascii="Arial" w:hAnsi="Arial" w:cs="Arial"/>
          <w:sz w:val="24"/>
          <w:szCs w:val="24"/>
          <w:lang w:val="sv-SE"/>
        </w:rPr>
        <w:t xml:space="preserve"> yaitu :</w:t>
      </w:r>
    </w:p>
    <w:p>
      <w:pPr>
        <w:spacing w:line="360" w:lineRule="auto"/>
        <w:ind w:left="709" w:firstLine="720"/>
        <w:rPr>
          <w:rFonts w:ascii="Arial" w:hAnsi="Arial" w:cs="Arial"/>
          <w:b/>
          <w:bCs/>
          <w:color w:val="000000"/>
          <w:sz w:val="24"/>
          <w:szCs w:val="24"/>
        </w:rPr>
      </w:pPr>
      <w:r>
        <w:rPr>
          <w:rFonts w:ascii="Arial" w:hAnsi="Arial" w:cs="Arial"/>
          <w:b/>
          <w:bCs/>
          <w:color w:val="000000"/>
          <w:sz w:val="24"/>
          <w:szCs w:val="24"/>
        </w:rPr>
        <w:t>”</w:t>
      </w:r>
      <w:r>
        <w:rPr>
          <w:rFonts w:ascii="Arial" w:hAnsi="Arial" w:cs="Arial"/>
          <w:b/>
          <w:bCs/>
          <w:color w:val="000000"/>
          <w:sz w:val="20"/>
          <w:szCs w:val="20"/>
        </w:rPr>
        <w:t xml:space="preserve"> Terwujudnya Kabupaten Banjar yang Maju, Mandiri dan Agamis</w:t>
      </w:r>
      <w:r>
        <w:rPr>
          <w:rFonts w:ascii="Arial" w:hAnsi="Arial" w:cs="Arial"/>
          <w:b/>
          <w:bCs/>
          <w:color w:val="000000"/>
          <w:sz w:val="24"/>
          <w:szCs w:val="24"/>
        </w:rPr>
        <w:t>”</w:t>
      </w:r>
    </w:p>
    <w:p>
      <w:pPr>
        <w:spacing w:after="120" w:line="360" w:lineRule="auto"/>
        <w:ind w:left="709" w:firstLine="551"/>
        <w:jc w:val="both"/>
        <w:rPr>
          <w:rFonts w:ascii="Arial" w:hAnsi="Arial" w:cs="Arial"/>
          <w:color w:val="000000"/>
          <w:sz w:val="24"/>
          <w:szCs w:val="24"/>
        </w:rPr>
      </w:pPr>
      <w:r>
        <w:rPr>
          <w:rFonts w:ascii="Arial" w:hAnsi="Arial" w:cs="Arial"/>
          <w:color w:val="000000"/>
          <w:sz w:val="24"/>
          <w:szCs w:val="24"/>
        </w:rPr>
        <w:t>Dalam upaya mewujudkan visi Bupati dan Wakil Bupati Kabupaten Banjar 20</w:t>
      </w:r>
      <w:r>
        <w:rPr>
          <w:rFonts w:ascii="Arial" w:hAnsi="Arial" w:cs="Arial"/>
          <w:color w:val="000000"/>
          <w:sz w:val="24"/>
          <w:szCs w:val="24"/>
          <w:lang w:val="en-US"/>
        </w:rPr>
        <w:t>2</w:t>
      </w:r>
      <w:r>
        <w:rPr>
          <w:rFonts w:ascii="Arial" w:hAnsi="Arial" w:cs="Arial"/>
          <w:color w:val="000000"/>
          <w:sz w:val="24"/>
          <w:szCs w:val="24"/>
        </w:rPr>
        <w:t>1 - 202</w:t>
      </w:r>
      <w:r>
        <w:rPr>
          <w:rFonts w:ascii="Arial" w:hAnsi="Arial" w:cs="Arial"/>
          <w:color w:val="000000"/>
          <w:sz w:val="24"/>
          <w:szCs w:val="24"/>
          <w:lang w:val="en-US"/>
        </w:rPr>
        <w:t>6</w:t>
      </w:r>
      <w:r>
        <w:rPr>
          <w:rFonts w:ascii="Arial" w:hAnsi="Arial" w:cs="Arial"/>
          <w:color w:val="000000"/>
          <w:sz w:val="24"/>
          <w:szCs w:val="24"/>
        </w:rPr>
        <w:t>, misi pembangunan dalam 5 (lima) tahun mendatang adalah sebagai berikut :</w:t>
      </w:r>
    </w:p>
    <w:p>
      <w:pPr>
        <w:pStyle w:val="23"/>
        <w:numPr>
          <w:ilvl w:val="0"/>
          <w:numId w:val="8"/>
        </w:numPr>
        <w:tabs>
          <w:tab w:val="left" w:pos="1134"/>
        </w:tabs>
        <w:ind w:left="1134"/>
        <w:jc w:val="both"/>
        <w:rPr>
          <w:rFonts w:ascii="Arial" w:hAnsi="Arial" w:eastAsia="Calibri" w:cs="Arial"/>
          <w:lang w:eastAsia="en-US"/>
        </w:rPr>
      </w:pPr>
      <w:r>
        <w:rPr>
          <w:rFonts w:ascii="Arial" w:hAnsi="Arial" w:eastAsia="Calibri" w:cs="Arial"/>
          <w:lang w:eastAsia="en-US"/>
        </w:rPr>
        <w:t>Peningkatan kualitas hidup dan kualitas sumber daya manusia.</w:t>
      </w:r>
    </w:p>
    <w:p>
      <w:pPr>
        <w:pStyle w:val="23"/>
        <w:numPr>
          <w:ilvl w:val="0"/>
          <w:numId w:val="8"/>
        </w:numPr>
        <w:tabs>
          <w:tab w:val="left" w:pos="1134"/>
        </w:tabs>
        <w:ind w:left="1134"/>
        <w:jc w:val="both"/>
        <w:rPr>
          <w:rFonts w:ascii="Arial" w:hAnsi="Arial" w:eastAsia="Calibri" w:cs="Arial"/>
          <w:lang w:eastAsia="en-US"/>
        </w:rPr>
      </w:pPr>
      <w:r>
        <w:rPr>
          <w:rFonts w:ascii="Arial" w:hAnsi="Arial" w:eastAsia="Calibri" w:cs="Arial"/>
          <w:lang w:eastAsia="en-US"/>
        </w:rPr>
        <w:t>Peningkatan ekonomiyang berkualitas berbasis kerakyatan dan Pemerataan pembangunan daerah yang</w:t>
      </w:r>
    </w:p>
    <w:p>
      <w:pPr>
        <w:pStyle w:val="23"/>
        <w:numPr>
          <w:ilvl w:val="0"/>
          <w:numId w:val="8"/>
        </w:numPr>
        <w:tabs>
          <w:tab w:val="left" w:pos="1134"/>
        </w:tabs>
        <w:ind w:left="1134"/>
        <w:jc w:val="both"/>
        <w:rPr>
          <w:rFonts w:ascii="Arial" w:hAnsi="Arial" w:eastAsia="Calibri" w:cs="Arial"/>
          <w:lang w:eastAsia="en-US"/>
        </w:rPr>
      </w:pPr>
      <w:r>
        <w:rPr>
          <w:rFonts w:ascii="Arial" w:hAnsi="Arial" w:eastAsia="Calibri" w:cs="Arial"/>
          <w:lang w:eastAsia="en-US"/>
        </w:rPr>
        <w:t>Pengelolaan lingkungan hidup yang berkelanjutan.</w:t>
      </w:r>
    </w:p>
    <w:p>
      <w:pPr>
        <w:pStyle w:val="23"/>
        <w:numPr>
          <w:ilvl w:val="0"/>
          <w:numId w:val="8"/>
        </w:numPr>
        <w:tabs>
          <w:tab w:val="left" w:pos="1134"/>
        </w:tabs>
        <w:ind w:left="1134"/>
        <w:jc w:val="both"/>
        <w:rPr>
          <w:rFonts w:ascii="Arial" w:hAnsi="Arial" w:eastAsia="Calibri" w:cs="Arial"/>
          <w:lang w:eastAsia="en-US"/>
        </w:rPr>
      </w:pPr>
      <w:r>
        <w:rPr>
          <w:rFonts w:ascii="Arial" w:hAnsi="Arial" w:eastAsia="Calibri" w:cs="Arial"/>
          <w:lang w:eastAsia="en-US"/>
        </w:rPr>
        <w:t>Penyelenggaraan kepemerintahan yang amanah, baik, bersih dan efektif,</w:t>
      </w:r>
    </w:p>
    <w:p>
      <w:pPr>
        <w:pStyle w:val="23"/>
        <w:numPr>
          <w:ilvl w:val="0"/>
          <w:numId w:val="8"/>
        </w:numPr>
        <w:tabs>
          <w:tab w:val="left" w:pos="1134"/>
        </w:tabs>
        <w:ind w:left="1134"/>
        <w:jc w:val="both"/>
        <w:rPr>
          <w:rFonts w:ascii="Arial" w:hAnsi="Arial" w:eastAsia="Calibri" w:cs="Arial"/>
          <w:lang w:eastAsia="en-US"/>
        </w:rPr>
      </w:pPr>
      <w:r>
        <w:rPr>
          <w:rFonts w:ascii="Arial" w:hAnsi="Arial" w:eastAsia="Calibri" w:cs="Arial"/>
          <w:lang w:eastAsia="en-US"/>
        </w:rPr>
        <w:t>Penguatan karakter masyarakat yang religius, berakhlak baik dan</w:t>
      </w:r>
      <w:r>
        <w:rPr>
          <w:rFonts w:ascii="Arial" w:hAnsi="Arial" w:eastAsia="Calibri" w:cs="Arial"/>
          <w:lang w:val="en-US" w:eastAsia="en-US"/>
        </w:rPr>
        <w:t xml:space="preserve"> </w:t>
      </w:r>
      <w:r>
        <w:rPr>
          <w:rFonts w:ascii="Arial" w:hAnsi="Arial" w:eastAsia="Calibri" w:cs="Arial"/>
          <w:lang w:eastAsia="en-US"/>
        </w:rPr>
        <w:t>berkepribadian luhur serta menciptakan kehidupan masyarakat yang tertib, aman,dan demokratis.</w:t>
      </w:r>
    </w:p>
    <w:p>
      <w:pPr>
        <w:pStyle w:val="23"/>
        <w:tabs>
          <w:tab w:val="left" w:pos="1134"/>
        </w:tabs>
        <w:rPr>
          <w:rFonts w:ascii="Arial" w:hAnsi="Arial" w:cs="Arial"/>
          <w:color w:val="auto"/>
          <w:lang w:val="en-US"/>
        </w:rPr>
      </w:pPr>
    </w:p>
    <w:p>
      <w:pPr>
        <w:pStyle w:val="23"/>
        <w:numPr>
          <w:ilvl w:val="3"/>
          <w:numId w:val="7"/>
        </w:numPr>
        <w:tabs>
          <w:tab w:val="left" w:pos="1276"/>
        </w:tabs>
        <w:spacing w:line="360" w:lineRule="auto"/>
        <w:ind w:hanging="2945"/>
        <w:jc w:val="both"/>
        <w:rPr>
          <w:rFonts w:ascii="Arial" w:hAnsi="Arial" w:cs="Arial"/>
          <w:b/>
          <w:color w:val="auto"/>
        </w:rPr>
      </w:pPr>
      <w:r>
        <w:rPr>
          <w:rFonts w:ascii="Arial" w:hAnsi="Arial" w:cs="Arial"/>
          <w:b/>
          <w:color w:val="auto"/>
        </w:rPr>
        <w:t>Misi</w:t>
      </w:r>
    </w:p>
    <w:p>
      <w:pPr>
        <w:pStyle w:val="23"/>
        <w:spacing w:line="360" w:lineRule="auto"/>
        <w:ind w:left="1276"/>
        <w:jc w:val="both"/>
        <w:rPr>
          <w:rFonts w:ascii="Arial" w:hAnsi="Arial" w:cs="Arial"/>
          <w:color w:val="auto"/>
          <w:lang w:val="zh-CN"/>
        </w:rPr>
      </w:pPr>
      <w:r>
        <w:rPr>
          <w:rFonts w:ascii="Arial" w:hAnsi="Arial" w:cs="Arial"/>
          <w:color w:val="auto"/>
          <w:lang w:val="zh-CN"/>
        </w:rPr>
        <w:t xml:space="preserve">Dalam upaya mewujudkan dan mendukung misi 4 dan 5 yaitu : </w:t>
      </w:r>
    </w:p>
    <w:p>
      <w:pPr>
        <w:spacing w:line="360" w:lineRule="auto"/>
        <w:ind w:left="1276"/>
        <w:jc w:val="both"/>
        <w:rPr>
          <w:rFonts w:ascii="Arial" w:hAnsi="Arial" w:cs="Arial"/>
          <w:b/>
          <w:bCs/>
          <w:color w:val="000000"/>
          <w:sz w:val="24"/>
          <w:szCs w:val="24"/>
        </w:rPr>
      </w:pPr>
      <w:r>
        <w:rPr>
          <w:rFonts w:ascii="Arial" w:hAnsi="Arial" w:cs="Arial"/>
          <w:b/>
          <w:bCs/>
          <w:color w:val="000000"/>
          <w:sz w:val="24"/>
          <w:szCs w:val="24"/>
        </w:rPr>
        <w:t>Misi 4</w:t>
      </w:r>
    </w:p>
    <w:p>
      <w:pPr>
        <w:pStyle w:val="23"/>
        <w:spacing w:line="360" w:lineRule="auto"/>
        <w:ind w:left="1276"/>
        <w:jc w:val="both"/>
        <w:rPr>
          <w:rFonts w:ascii="Arial" w:hAnsi="Arial" w:cs="Arial"/>
          <w:color w:val="auto"/>
          <w:lang w:val="zh-CN"/>
        </w:rPr>
      </w:pPr>
      <w:r>
        <w:rPr>
          <w:rFonts w:ascii="Arial" w:hAnsi="Arial" w:eastAsia="Calibri" w:cs="Arial"/>
        </w:rPr>
        <w:t>Mewujudkan pemerataan pembangunan dan kesejahteraan yang berkeadilan dan menyelenggarakan pembangunan pada segala aspek dan sendi kehidupan yang hasilnya dapat dirasakan secara merata, seimbang dan proporsional oleh seluruh lapisan masyarakat dan antar wilayah dengan mengurangi kesenjangan so</w:t>
      </w:r>
      <w:r>
        <w:rPr>
          <w:rFonts w:ascii="Arial" w:hAnsi="Arial" w:eastAsia="Calibri" w:cs="Arial"/>
          <w:lang w:val="zh-CN"/>
        </w:rPr>
        <w:t>s</w:t>
      </w:r>
      <w:r>
        <w:rPr>
          <w:rFonts w:ascii="Arial" w:hAnsi="Arial" w:eastAsia="Calibri" w:cs="Arial"/>
        </w:rPr>
        <w:t>ial secara menyeluruh.  Keberpihakan kepada masyarakat dan wilayah yang tertinggal, menanggulangi kemiskinan dan pengangguran, menyediakan akses yang sama terhadap pelayanan sosial dan sarana prasarana ekonomi serta menghilangkan diskriminasi dalam berbagai aspek.</w:t>
      </w:r>
    </w:p>
    <w:p>
      <w:pPr>
        <w:pStyle w:val="23"/>
        <w:spacing w:line="360" w:lineRule="auto"/>
        <w:ind w:left="1276"/>
        <w:jc w:val="both"/>
        <w:rPr>
          <w:rFonts w:ascii="Arial" w:hAnsi="Arial" w:cs="Arial"/>
          <w:color w:val="auto"/>
          <w:lang w:val="zh-CN"/>
        </w:rPr>
      </w:pPr>
      <w:r>
        <w:rPr>
          <w:rFonts w:ascii="Arial" w:hAnsi="Arial" w:cs="Arial"/>
          <w:color w:val="auto"/>
          <w:lang w:val="zh-CN"/>
        </w:rPr>
        <w:t>Misi ke 5 yaitu :</w:t>
      </w:r>
    </w:p>
    <w:p>
      <w:pPr>
        <w:spacing w:line="360" w:lineRule="auto"/>
        <w:ind w:left="1276"/>
        <w:jc w:val="both"/>
        <w:rPr>
          <w:rFonts w:ascii="Arial" w:hAnsi="Arial" w:cs="Arial"/>
          <w:color w:val="000000"/>
          <w:sz w:val="24"/>
          <w:szCs w:val="24"/>
        </w:rPr>
      </w:pPr>
      <w:r>
        <w:rPr>
          <w:rFonts w:ascii="Arial" w:hAnsi="Arial" w:cs="Arial"/>
          <w:color w:val="000000"/>
          <w:sz w:val="24"/>
          <w:szCs w:val="24"/>
        </w:rPr>
        <w:t>Meningkatkan penyelengaraan administrasi pemerintahan yang efisien, efektif dan akuntabel, pengelolaan keuangan daerah yang akuntabel dan berorientasi publik, kondisi keamanan dan politik yang kondusif serta pelayanan publik yang berorientasi pada pelayanan prima secara terpadu.</w:t>
      </w:r>
    </w:p>
    <w:p>
      <w:pPr>
        <w:pStyle w:val="23"/>
        <w:tabs>
          <w:tab w:val="left" w:pos="1276"/>
        </w:tabs>
        <w:ind w:left="1276"/>
        <w:jc w:val="both"/>
        <w:rPr>
          <w:rFonts w:ascii="Arial" w:hAnsi="Arial" w:cs="Arial"/>
          <w:color w:val="auto"/>
          <w:lang w:val="zh-CN"/>
        </w:rPr>
      </w:pPr>
    </w:p>
    <w:p>
      <w:pPr>
        <w:pStyle w:val="23"/>
        <w:numPr>
          <w:ilvl w:val="3"/>
          <w:numId w:val="7"/>
        </w:numPr>
        <w:tabs>
          <w:tab w:val="left" w:pos="1276"/>
        </w:tabs>
        <w:spacing w:line="360" w:lineRule="auto"/>
        <w:ind w:left="3652" w:hanging="2943"/>
        <w:jc w:val="both"/>
        <w:rPr>
          <w:rFonts w:ascii="Arial" w:hAnsi="Arial" w:cs="Arial"/>
          <w:b/>
          <w:color w:val="auto"/>
        </w:rPr>
      </w:pPr>
      <w:r>
        <w:rPr>
          <w:rFonts w:ascii="Arial" w:hAnsi="Arial" w:cs="Arial"/>
          <w:b/>
          <w:color w:val="auto"/>
        </w:rPr>
        <w:t>Tujuan dan Sasaran</w:t>
      </w:r>
    </w:p>
    <w:p>
      <w:pPr>
        <w:pStyle w:val="23"/>
        <w:tabs>
          <w:tab w:val="left" w:pos="1276"/>
        </w:tabs>
        <w:spacing w:line="360" w:lineRule="auto"/>
        <w:ind w:left="1276" w:firstLine="639"/>
        <w:jc w:val="both"/>
        <w:rPr>
          <w:rFonts w:ascii="Arial" w:hAnsi="Arial" w:cs="Arial"/>
          <w:color w:val="auto"/>
          <w:lang w:val="en-US"/>
        </w:rPr>
      </w:pPr>
      <w:r>
        <w:rPr>
          <w:rFonts w:ascii="Arial" w:hAnsi="Arial" w:cs="Arial"/>
          <w:color w:val="auto"/>
          <w:lang w:val="en-US"/>
        </w:rPr>
        <w:t xml:space="preserve">Dengan memperhatikan Visi, Misi tujuan dan sasaran Pemerintah Kabupaten Banjar Tahun 2021-2026, maka ditetapkan tujuan dan sasaran yang akan dicapai Kecamatan </w:t>
      </w:r>
      <w:r>
        <w:rPr>
          <w:rFonts w:ascii="Arial" w:hAnsi="Arial" w:cs="Arial"/>
        </w:rPr>
        <w:t xml:space="preserve"> Astambul</w:t>
      </w:r>
      <w:r>
        <w:rPr>
          <w:rFonts w:ascii="Arial" w:hAnsi="Arial" w:cs="Arial"/>
          <w:lang w:val="en-US"/>
        </w:rPr>
        <w:t xml:space="preserve"> </w:t>
      </w:r>
      <w:r>
        <w:rPr>
          <w:rFonts w:ascii="Arial" w:hAnsi="Arial" w:cs="Arial"/>
          <w:color w:val="auto"/>
          <w:lang w:val="en-US"/>
        </w:rPr>
        <w:t>Kabupaten Banjar dalam lima tahun mendatang adalah sebagai berikut:</w:t>
      </w:r>
    </w:p>
    <w:p>
      <w:pPr>
        <w:pStyle w:val="23"/>
        <w:tabs>
          <w:tab w:val="left" w:pos="1276"/>
        </w:tabs>
        <w:spacing w:line="360" w:lineRule="auto"/>
        <w:ind w:left="1418" w:firstLine="639"/>
        <w:jc w:val="both"/>
        <w:rPr>
          <w:rFonts w:ascii="Arial" w:hAnsi="Arial" w:cs="Arial"/>
          <w:color w:val="auto"/>
          <w:lang w:val="en-US"/>
        </w:rPr>
      </w:pPr>
      <w:r>
        <w:rPr>
          <w:rFonts w:ascii="Arial" w:hAnsi="Arial" w:cs="Arial"/>
          <w:color w:val="auto"/>
          <w:lang w:val="en-US"/>
        </w:rPr>
        <w:t xml:space="preserve">Tujuan yang akan dicapai dan dihasilkan pada jangka waktu 1 (satu) sampai dengan 5 (lima) tahunan yang merupan penjabaran/implementasi dari pernyataan Misi Kecamatan </w:t>
      </w:r>
      <w:r>
        <w:rPr>
          <w:rFonts w:ascii="Arial" w:hAnsi="Arial" w:cs="Arial"/>
        </w:rPr>
        <w:t xml:space="preserve"> Astambul</w:t>
      </w:r>
      <w:r>
        <w:rPr>
          <w:rFonts w:ascii="Arial" w:hAnsi="Arial" w:cs="Arial"/>
          <w:lang w:val="en-US"/>
        </w:rPr>
        <w:t xml:space="preserve"> </w:t>
      </w:r>
      <w:r>
        <w:rPr>
          <w:rFonts w:ascii="Arial" w:hAnsi="Arial" w:cs="Arial"/>
          <w:color w:val="auto"/>
          <w:lang w:val="en-US"/>
        </w:rPr>
        <w:t>dalam perencanaan 5 (lima) tahun mendatang mempunyai orientasi pada peningkatan pembangunan dan kepuasan pelayanan kepada masyarakat yaitu :</w:t>
      </w:r>
    </w:p>
    <w:p>
      <w:pPr>
        <w:pStyle w:val="23"/>
        <w:numPr>
          <w:ilvl w:val="0"/>
          <w:numId w:val="9"/>
        </w:numPr>
        <w:tabs>
          <w:tab w:val="left" w:pos="1276"/>
        </w:tabs>
        <w:spacing w:line="360" w:lineRule="auto"/>
        <w:jc w:val="both"/>
        <w:rPr>
          <w:rFonts w:ascii="Arial" w:hAnsi="Arial" w:cs="Arial"/>
          <w:color w:val="auto"/>
        </w:rPr>
      </w:pPr>
      <w:r>
        <w:rPr>
          <w:rFonts w:ascii="Arial" w:hAnsi="Arial" w:cs="Arial"/>
          <w:color w:val="auto"/>
          <w:lang w:val="en-US"/>
        </w:rPr>
        <w:t>Meningkatkan pemerataan penyelenggaraan pembangunan di Wilayah Kecamatan.</w:t>
      </w:r>
    </w:p>
    <w:p>
      <w:pPr>
        <w:pStyle w:val="23"/>
        <w:numPr>
          <w:ilvl w:val="0"/>
          <w:numId w:val="9"/>
        </w:numPr>
        <w:tabs>
          <w:tab w:val="left" w:pos="1276"/>
        </w:tabs>
        <w:spacing w:line="360" w:lineRule="auto"/>
        <w:jc w:val="both"/>
        <w:rPr>
          <w:rFonts w:ascii="Arial" w:hAnsi="Arial" w:cs="Arial"/>
          <w:color w:val="auto"/>
        </w:rPr>
      </w:pPr>
      <w:r>
        <w:rPr>
          <w:rFonts w:ascii="Arial" w:hAnsi="Arial" w:cs="Arial"/>
          <w:color w:val="auto"/>
          <w:lang w:val="en-US"/>
        </w:rPr>
        <w:t>Meningkatkan potensi peran serta masyarakat dalam kegiatan pembangunan wilayah tertinggal di Kecamatan.</w:t>
      </w:r>
    </w:p>
    <w:p>
      <w:pPr>
        <w:pStyle w:val="23"/>
        <w:numPr>
          <w:ilvl w:val="0"/>
          <w:numId w:val="9"/>
        </w:numPr>
        <w:tabs>
          <w:tab w:val="left" w:pos="1276"/>
        </w:tabs>
        <w:spacing w:line="360" w:lineRule="auto"/>
        <w:jc w:val="both"/>
        <w:rPr>
          <w:rFonts w:ascii="Arial" w:hAnsi="Arial" w:cs="Arial"/>
          <w:color w:val="auto"/>
        </w:rPr>
      </w:pPr>
      <w:r>
        <w:rPr>
          <w:rFonts w:ascii="Arial" w:hAnsi="Arial" w:cs="Arial"/>
          <w:color w:val="auto"/>
          <w:lang w:val="en-US"/>
        </w:rPr>
        <w:t>Meningkatkan pelayanan publik yang terintegrasi, mudah dan cepat.</w:t>
      </w:r>
    </w:p>
    <w:p>
      <w:pPr>
        <w:pStyle w:val="23"/>
        <w:numPr>
          <w:ilvl w:val="0"/>
          <w:numId w:val="9"/>
        </w:numPr>
        <w:tabs>
          <w:tab w:val="left" w:pos="1276"/>
        </w:tabs>
        <w:spacing w:line="360" w:lineRule="auto"/>
        <w:jc w:val="both"/>
        <w:rPr>
          <w:rFonts w:ascii="Arial" w:hAnsi="Arial" w:cs="Arial"/>
          <w:color w:val="auto"/>
        </w:rPr>
      </w:pPr>
      <w:r>
        <w:rPr>
          <w:rFonts w:ascii="Arial" w:hAnsi="Arial" w:cs="Arial"/>
          <w:color w:val="auto"/>
          <w:lang w:val="en-US"/>
        </w:rPr>
        <w:t>Mewujudkan pelayanan yang prima transparan dan tidak diskriminatif.</w:t>
      </w:r>
    </w:p>
    <w:p>
      <w:pPr>
        <w:pStyle w:val="23"/>
        <w:numPr>
          <w:ilvl w:val="0"/>
          <w:numId w:val="9"/>
        </w:numPr>
        <w:tabs>
          <w:tab w:val="left" w:pos="1276"/>
        </w:tabs>
        <w:spacing w:line="360" w:lineRule="auto"/>
        <w:jc w:val="both"/>
        <w:rPr>
          <w:rFonts w:ascii="Arial" w:hAnsi="Arial" w:cs="Arial"/>
          <w:color w:val="auto"/>
        </w:rPr>
      </w:pPr>
      <w:r>
        <w:rPr>
          <w:rFonts w:ascii="Arial" w:hAnsi="Arial" w:cs="Arial"/>
          <w:color w:val="auto"/>
          <w:lang w:val="en-US"/>
        </w:rPr>
        <w:t>Meningkatkan penyelenggaraan pemerintahan yang efisien, efektif dan akuntable.</w:t>
      </w:r>
    </w:p>
    <w:p>
      <w:pPr>
        <w:pStyle w:val="23"/>
        <w:numPr>
          <w:ilvl w:val="0"/>
          <w:numId w:val="9"/>
        </w:numPr>
        <w:tabs>
          <w:tab w:val="left" w:pos="1276"/>
        </w:tabs>
        <w:spacing w:line="360" w:lineRule="auto"/>
        <w:jc w:val="both"/>
        <w:rPr>
          <w:rFonts w:ascii="Arial" w:hAnsi="Arial" w:cs="Arial"/>
          <w:color w:val="auto"/>
        </w:rPr>
      </w:pPr>
      <w:r>
        <w:rPr>
          <w:rFonts w:ascii="Arial" w:hAnsi="Arial" w:cs="Arial"/>
          <w:color w:val="auto"/>
          <w:lang w:val="en-US"/>
        </w:rPr>
        <w:t>Mewujudkan pengelolaan keuangan daerah yang akuntable dan berorintasi publik.</w:t>
      </w:r>
    </w:p>
    <w:p>
      <w:pPr>
        <w:pStyle w:val="23"/>
        <w:numPr>
          <w:ilvl w:val="0"/>
          <w:numId w:val="9"/>
        </w:numPr>
        <w:tabs>
          <w:tab w:val="left" w:pos="1276"/>
        </w:tabs>
        <w:spacing w:line="360" w:lineRule="auto"/>
        <w:jc w:val="both"/>
        <w:rPr>
          <w:rFonts w:ascii="Arial" w:hAnsi="Arial" w:cs="Arial"/>
          <w:color w:val="auto"/>
        </w:rPr>
      </w:pPr>
      <w:r>
        <w:rPr>
          <w:rFonts w:ascii="Arial" w:hAnsi="Arial" w:cs="Arial"/>
          <w:color w:val="auto"/>
          <w:lang w:val="en-US"/>
        </w:rPr>
        <w:t xml:space="preserve">Mewujudkan keamanan dan ketertiban di lingkungan masyarakat.  </w:t>
      </w:r>
    </w:p>
    <w:p>
      <w:pPr>
        <w:pStyle w:val="23"/>
        <w:numPr>
          <w:ilvl w:val="0"/>
          <w:numId w:val="9"/>
        </w:numPr>
        <w:tabs>
          <w:tab w:val="left" w:pos="1276"/>
        </w:tabs>
        <w:spacing w:line="360" w:lineRule="auto"/>
        <w:jc w:val="both"/>
        <w:rPr>
          <w:rFonts w:ascii="Arial" w:hAnsi="Arial" w:cs="Arial"/>
          <w:color w:val="auto"/>
        </w:rPr>
      </w:pPr>
      <w:r>
        <w:rPr>
          <w:rFonts w:ascii="Arial" w:hAnsi="Arial" w:cs="Arial"/>
          <w:color w:val="auto"/>
          <w:lang w:val="en-US"/>
        </w:rPr>
        <w:t>Meningkatkan kinerja aparatur pemerintahan yang baik.</w:t>
      </w:r>
    </w:p>
    <w:p>
      <w:pPr>
        <w:pStyle w:val="23"/>
        <w:tabs>
          <w:tab w:val="left" w:pos="1276"/>
        </w:tabs>
        <w:ind w:left="2070"/>
        <w:jc w:val="both"/>
        <w:rPr>
          <w:rFonts w:ascii="Arial" w:hAnsi="Arial" w:cs="Arial"/>
          <w:color w:val="auto"/>
        </w:rPr>
      </w:pPr>
    </w:p>
    <w:p>
      <w:pPr>
        <w:numPr>
          <w:ilvl w:val="1"/>
          <w:numId w:val="2"/>
        </w:numPr>
        <w:tabs>
          <w:tab w:val="left" w:pos="1701"/>
        </w:tabs>
        <w:spacing w:after="0" w:line="360" w:lineRule="auto"/>
        <w:ind w:hanging="938"/>
        <w:jc w:val="both"/>
        <w:rPr>
          <w:rFonts w:ascii="Arial" w:hAnsi="Arial" w:eastAsia="Batang" w:cs="Arial"/>
          <w:b/>
          <w:bCs/>
          <w:sz w:val="24"/>
          <w:szCs w:val="24"/>
          <w:u w:val="single"/>
        </w:rPr>
      </w:pPr>
      <w:r>
        <w:rPr>
          <w:rFonts w:ascii="Arial" w:hAnsi="Arial" w:eastAsia="Batang" w:cs="Arial"/>
          <w:b/>
          <w:bCs/>
          <w:sz w:val="24"/>
          <w:szCs w:val="24"/>
          <w:u w:val="single"/>
        </w:rPr>
        <w:t>Sasaran</w:t>
      </w:r>
    </w:p>
    <w:p>
      <w:pPr>
        <w:pStyle w:val="23"/>
        <w:tabs>
          <w:tab w:val="left" w:pos="1276"/>
        </w:tabs>
        <w:spacing w:line="360" w:lineRule="auto"/>
        <w:ind w:left="1701" w:firstLine="639"/>
        <w:jc w:val="both"/>
        <w:rPr>
          <w:rFonts w:ascii="Arial" w:hAnsi="Arial" w:cs="Arial"/>
          <w:color w:val="auto"/>
          <w:lang w:val="en-US"/>
        </w:rPr>
      </w:pPr>
      <w:r>
        <w:rPr>
          <w:rFonts w:ascii="Arial" w:hAnsi="Arial" w:cs="Arial"/>
          <w:color w:val="auto"/>
          <w:lang w:val="en-US"/>
        </w:rPr>
        <w:t xml:space="preserve">Sasaran Kecamatan </w:t>
      </w:r>
      <w:r>
        <w:rPr>
          <w:rFonts w:ascii="Arial" w:hAnsi="Arial" w:cs="Arial"/>
          <w:lang w:val="en-US"/>
        </w:rPr>
        <w:t xml:space="preserve">Astambul </w:t>
      </w:r>
      <w:r>
        <w:rPr>
          <w:rFonts w:ascii="Arial" w:hAnsi="Arial" w:cs="Arial"/>
          <w:color w:val="auto"/>
          <w:lang w:val="en-US"/>
        </w:rPr>
        <w:t xml:space="preserve">merupakan bagian integral dalam proses pencapaian visi dan misi Kecamatan. Adapun sasaran jangka menengah Kecamatan </w:t>
      </w:r>
      <w:r>
        <w:rPr>
          <w:rFonts w:ascii="Arial" w:hAnsi="Arial" w:cs="Arial"/>
          <w:lang w:val="en-US"/>
        </w:rPr>
        <w:t xml:space="preserve">Astambul </w:t>
      </w:r>
      <w:r>
        <w:rPr>
          <w:rFonts w:ascii="Arial" w:hAnsi="Arial" w:cs="Arial"/>
          <w:color w:val="auto"/>
          <w:lang w:val="en-US"/>
        </w:rPr>
        <w:t>sebagai berikut :</w:t>
      </w:r>
    </w:p>
    <w:p>
      <w:pPr>
        <w:pStyle w:val="23"/>
        <w:numPr>
          <w:ilvl w:val="4"/>
          <w:numId w:val="2"/>
        </w:numPr>
        <w:tabs>
          <w:tab w:val="left" w:pos="1276"/>
        </w:tabs>
        <w:spacing w:line="360" w:lineRule="auto"/>
        <w:ind w:left="2070"/>
        <w:jc w:val="both"/>
        <w:rPr>
          <w:rFonts w:ascii="Arial" w:hAnsi="Arial" w:cs="Arial"/>
          <w:color w:val="auto"/>
        </w:rPr>
      </w:pPr>
      <w:r>
        <w:rPr>
          <w:rFonts w:ascii="Arial" w:hAnsi="Arial" w:cs="Arial"/>
          <w:color w:val="auto"/>
          <w:lang w:val="en-US"/>
        </w:rPr>
        <w:t>Meningkatnya pemerataan penyelenggaraan pembangunan di Wilayah Kecamatan.</w:t>
      </w:r>
    </w:p>
    <w:p>
      <w:pPr>
        <w:pStyle w:val="23"/>
        <w:numPr>
          <w:ilvl w:val="4"/>
          <w:numId w:val="2"/>
        </w:numPr>
        <w:tabs>
          <w:tab w:val="left" w:pos="1276"/>
        </w:tabs>
        <w:spacing w:line="360" w:lineRule="auto"/>
        <w:ind w:left="2070"/>
        <w:jc w:val="both"/>
        <w:rPr>
          <w:rFonts w:ascii="Arial" w:hAnsi="Arial" w:cs="Arial"/>
          <w:color w:val="auto"/>
        </w:rPr>
      </w:pPr>
      <w:r>
        <w:rPr>
          <w:rFonts w:ascii="Arial" w:hAnsi="Arial" w:cs="Arial"/>
          <w:color w:val="auto"/>
          <w:lang w:val="en-US"/>
        </w:rPr>
        <w:t>Meningkatnya potensi peran serta masyarakat dalam kegiatan pembangunan wilayah tertinggal di Kecamatan.</w:t>
      </w:r>
    </w:p>
    <w:p>
      <w:pPr>
        <w:pStyle w:val="23"/>
        <w:numPr>
          <w:ilvl w:val="4"/>
          <w:numId w:val="2"/>
        </w:numPr>
        <w:tabs>
          <w:tab w:val="left" w:pos="1276"/>
        </w:tabs>
        <w:spacing w:line="360" w:lineRule="auto"/>
        <w:ind w:left="2070"/>
        <w:jc w:val="both"/>
        <w:rPr>
          <w:rFonts w:ascii="Arial" w:hAnsi="Arial" w:cs="Arial"/>
          <w:color w:val="auto"/>
        </w:rPr>
      </w:pPr>
      <w:r>
        <w:rPr>
          <w:rFonts w:ascii="Arial" w:hAnsi="Arial" w:cs="Arial"/>
          <w:color w:val="auto"/>
          <w:lang w:val="en-US"/>
        </w:rPr>
        <w:t>Meningkatnya pelayanan publik yang terintegrasi, mudah dan cepat.</w:t>
      </w:r>
    </w:p>
    <w:p>
      <w:pPr>
        <w:pStyle w:val="23"/>
        <w:numPr>
          <w:ilvl w:val="4"/>
          <w:numId w:val="2"/>
        </w:numPr>
        <w:tabs>
          <w:tab w:val="left" w:pos="1276"/>
        </w:tabs>
        <w:spacing w:line="360" w:lineRule="auto"/>
        <w:ind w:left="2070"/>
        <w:jc w:val="both"/>
        <w:rPr>
          <w:rFonts w:ascii="Arial" w:hAnsi="Arial" w:cs="Arial"/>
          <w:color w:val="auto"/>
        </w:rPr>
      </w:pPr>
      <w:r>
        <w:rPr>
          <w:rFonts w:ascii="Arial" w:hAnsi="Arial" w:cs="Arial"/>
          <w:color w:val="auto"/>
          <w:lang w:val="en-US"/>
        </w:rPr>
        <w:t>Terwujudnya pelayanan yang prima, transparan dan tidak diskriminatif.</w:t>
      </w:r>
    </w:p>
    <w:p>
      <w:pPr>
        <w:pStyle w:val="23"/>
        <w:numPr>
          <w:ilvl w:val="4"/>
          <w:numId w:val="2"/>
        </w:numPr>
        <w:tabs>
          <w:tab w:val="left" w:pos="1276"/>
        </w:tabs>
        <w:spacing w:line="360" w:lineRule="auto"/>
        <w:ind w:left="2070"/>
        <w:jc w:val="both"/>
        <w:rPr>
          <w:rFonts w:ascii="Arial" w:hAnsi="Arial" w:cs="Arial"/>
          <w:color w:val="auto"/>
        </w:rPr>
      </w:pPr>
      <w:r>
        <w:rPr>
          <w:rFonts w:ascii="Arial" w:hAnsi="Arial" w:cs="Arial"/>
          <w:color w:val="auto"/>
          <w:lang w:val="en-US"/>
        </w:rPr>
        <w:t>Meningkatnya penyelenggaraan pemerintahan yang efisien, efektif dan akuntable.</w:t>
      </w:r>
    </w:p>
    <w:p>
      <w:pPr>
        <w:pStyle w:val="23"/>
        <w:numPr>
          <w:ilvl w:val="4"/>
          <w:numId w:val="2"/>
        </w:numPr>
        <w:tabs>
          <w:tab w:val="left" w:pos="1276"/>
        </w:tabs>
        <w:spacing w:line="360" w:lineRule="auto"/>
        <w:ind w:left="2070"/>
        <w:jc w:val="both"/>
        <w:rPr>
          <w:rFonts w:ascii="Arial" w:hAnsi="Arial" w:cs="Arial"/>
          <w:color w:val="auto"/>
        </w:rPr>
      </w:pPr>
      <w:r>
        <w:rPr>
          <w:rFonts w:ascii="Arial" w:hAnsi="Arial" w:cs="Arial"/>
          <w:color w:val="auto"/>
          <w:lang w:val="en-US"/>
        </w:rPr>
        <w:t>Terwujudnya pengelolaan keuangan daerah yang akuntable dan berorintasi publik.</w:t>
      </w:r>
    </w:p>
    <w:p>
      <w:pPr>
        <w:pStyle w:val="23"/>
        <w:numPr>
          <w:ilvl w:val="4"/>
          <w:numId w:val="2"/>
        </w:numPr>
        <w:tabs>
          <w:tab w:val="left" w:pos="1276"/>
        </w:tabs>
        <w:spacing w:line="360" w:lineRule="auto"/>
        <w:ind w:left="2070"/>
        <w:jc w:val="both"/>
        <w:rPr>
          <w:rFonts w:ascii="Arial" w:hAnsi="Arial" w:cs="Arial"/>
          <w:color w:val="auto"/>
        </w:rPr>
      </w:pPr>
      <w:r>
        <w:rPr>
          <w:rFonts w:ascii="Arial" w:hAnsi="Arial" w:cs="Arial"/>
          <w:color w:val="auto"/>
          <w:lang w:val="en-US"/>
        </w:rPr>
        <w:t xml:space="preserve">Terwujudnya keamanan dan ketertiban di lingkungan masyarakat.  </w:t>
      </w:r>
    </w:p>
    <w:p>
      <w:pPr>
        <w:pStyle w:val="23"/>
        <w:numPr>
          <w:ilvl w:val="4"/>
          <w:numId w:val="2"/>
        </w:numPr>
        <w:tabs>
          <w:tab w:val="left" w:pos="1276"/>
        </w:tabs>
        <w:ind w:left="2070"/>
        <w:jc w:val="both"/>
        <w:rPr>
          <w:rFonts w:ascii="Bookman Old Style" w:hAnsi="Bookman Old Style" w:eastAsia="Batang" w:cs="Arial"/>
          <w:bCs/>
        </w:rPr>
      </w:pPr>
      <w:r>
        <w:rPr>
          <w:rFonts w:ascii="Arial" w:hAnsi="Arial" w:cs="Arial"/>
          <w:color w:val="auto"/>
          <w:lang w:val="en-US"/>
        </w:rPr>
        <w:t>Meningkatnya kinerja aparatur pemerintahan yang baik.</w:t>
      </w:r>
    </w:p>
    <w:p>
      <w:pPr>
        <w:pStyle w:val="15"/>
        <w:tabs>
          <w:tab w:val="left" w:pos="567"/>
        </w:tabs>
        <w:ind w:left="0"/>
        <w:rPr>
          <w:rFonts w:ascii="Arial" w:hAnsi="Arial" w:cs="Arial"/>
          <w:b/>
          <w:bCs/>
          <w:sz w:val="20"/>
          <w:szCs w:val="20"/>
          <w:lang w:val="en-US"/>
        </w:rPr>
      </w:pPr>
    </w:p>
    <w:p>
      <w:pPr>
        <w:pStyle w:val="15"/>
        <w:tabs>
          <w:tab w:val="left" w:pos="567"/>
        </w:tabs>
        <w:ind w:left="0"/>
        <w:jc w:val="center"/>
        <w:rPr>
          <w:rFonts w:ascii="Arial" w:hAnsi="Arial" w:cs="Arial"/>
          <w:b/>
          <w:bCs/>
          <w:sz w:val="20"/>
          <w:szCs w:val="20"/>
        </w:rPr>
      </w:pPr>
    </w:p>
    <w:p>
      <w:pPr>
        <w:pStyle w:val="15"/>
        <w:tabs>
          <w:tab w:val="left" w:pos="567"/>
        </w:tabs>
        <w:ind w:left="0"/>
        <w:jc w:val="center"/>
        <w:rPr>
          <w:rFonts w:ascii="Arial" w:hAnsi="Arial" w:cs="Arial"/>
          <w:b/>
          <w:bCs/>
          <w:sz w:val="20"/>
          <w:szCs w:val="20"/>
        </w:rPr>
      </w:pPr>
    </w:p>
    <w:p>
      <w:pPr>
        <w:pStyle w:val="15"/>
        <w:tabs>
          <w:tab w:val="left" w:pos="567"/>
        </w:tabs>
        <w:ind w:left="0"/>
        <w:jc w:val="center"/>
        <w:rPr>
          <w:rFonts w:ascii="Arial" w:hAnsi="Arial" w:cs="Arial"/>
          <w:b/>
          <w:bCs/>
          <w:sz w:val="20"/>
          <w:szCs w:val="20"/>
        </w:rPr>
      </w:pPr>
    </w:p>
    <w:p>
      <w:pPr>
        <w:pStyle w:val="15"/>
        <w:tabs>
          <w:tab w:val="left" w:pos="567"/>
        </w:tabs>
        <w:ind w:left="0"/>
        <w:jc w:val="center"/>
        <w:rPr>
          <w:rFonts w:ascii="Arial" w:hAnsi="Arial" w:cs="Arial"/>
          <w:b/>
          <w:bCs/>
          <w:sz w:val="20"/>
          <w:szCs w:val="20"/>
        </w:rPr>
      </w:pPr>
    </w:p>
    <w:p>
      <w:pPr>
        <w:pStyle w:val="15"/>
        <w:tabs>
          <w:tab w:val="left" w:pos="567"/>
        </w:tabs>
        <w:ind w:left="0"/>
        <w:jc w:val="center"/>
        <w:rPr>
          <w:rFonts w:ascii="Arial" w:hAnsi="Arial" w:cs="Arial"/>
          <w:b/>
          <w:bCs/>
          <w:sz w:val="20"/>
          <w:szCs w:val="20"/>
        </w:rPr>
      </w:pPr>
    </w:p>
    <w:p>
      <w:pPr>
        <w:pStyle w:val="15"/>
        <w:tabs>
          <w:tab w:val="left" w:pos="567"/>
        </w:tabs>
        <w:ind w:left="0"/>
        <w:jc w:val="center"/>
        <w:rPr>
          <w:rFonts w:ascii="Arial" w:hAnsi="Arial" w:cs="Arial"/>
          <w:b/>
          <w:bCs/>
          <w:sz w:val="20"/>
          <w:szCs w:val="20"/>
        </w:rPr>
      </w:pPr>
    </w:p>
    <w:p>
      <w:pPr>
        <w:pStyle w:val="15"/>
        <w:tabs>
          <w:tab w:val="left" w:pos="567"/>
        </w:tabs>
        <w:ind w:left="0"/>
        <w:jc w:val="center"/>
        <w:rPr>
          <w:rFonts w:ascii="Arial" w:hAnsi="Arial" w:cs="Arial"/>
          <w:b/>
          <w:bCs/>
          <w:sz w:val="20"/>
          <w:szCs w:val="20"/>
        </w:rPr>
      </w:pPr>
    </w:p>
    <w:p>
      <w:pPr>
        <w:pStyle w:val="15"/>
        <w:tabs>
          <w:tab w:val="left" w:pos="567"/>
        </w:tabs>
        <w:ind w:left="0"/>
        <w:jc w:val="center"/>
        <w:rPr>
          <w:rFonts w:ascii="Arial" w:hAnsi="Arial" w:cs="Arial"/>
          <w:b/>
          <w:bCs/>
          <w:sz w:val="20"/>
          <w:szCs w:val="20"/>
        </w:rPr>
      </w:pPr>
      <w:r>
        <w:rPr>
          <w:rFonts w:ascii="Arial" w:hAnsi="Arial" w:cs="Arial"/>
          <w:b/>
          <w:bCs/>
          <w:sz w:val="20"/>
          <w:szCs w:val="20"/>
        </w:rPr>
        <w:t>Tabel 2.1</w:t>
      </w:r>
    </w:p>
    <w:p>
      <w:pPr>
        <w:pStyle w:val="15"/>
        <w:tabs>
          <w:tab w:val="left" w:pos="567"/>
        </w:tabs>
        <w:spacing w:after="120"/>
        <w:ind w:left="0"/>
        <w:jc w:val="center"/>
        <w:rPr>
          <w:rFonts w:ascii="Arial" w:hAnsi="Arial" w:cs="Arial"/>
          <w:b/>
          <w:bCs/>
          <w:sz w:val="20"/>
          <w:szCs w:val="20"/>
        </w:rPr>
      </w:pPr>
      <w:r>
        <w:rPr>
          <w:rFonts w:ascii="Arial" w:hAnsi="Arial" w:cs="Arial"/>
          <w:b/>
          <w:bCs/>
          <w:sz w:val="20"/>
          <w:szCs w:val="20"/>
        </w:rPr>
        <w:t>Hubungan Tujuan dan Sasaran</w:t>
      </w:r>
    </w:p>
    <w:tbl>
      <w:tblPr>
        <w:tblStyle w:val="4"/>
        <w:tblW w:w="4302"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269"/>
        <w:gridCol w:w="2834"/>
        <w:gridCol w:w="25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blHeader/>
          <w:jc w:val="right"/>
        </w:trPr>
        <w:tc>
          <w:tcPr>
            <w:tcW w:w="344" w:type="pct"/>
            <w:shd w:val="clear" w:color="auto" w:fill="F2F2F2"/>
            <w:vAlign w:val="center"/>
          </w:tcPr>
          <w:p>
            <w:pPr>
              <w:ind w:left="-108" w:right="-108"/>
              <w:jc w:val="center"/>
              <w:rPr>
                <w:rFonts w:ascii="Tahoma" w:hAnsi="Tahoma" w:cs="Tahoma"/>
                <w:b/>
              </w:rPr>
            </w:pPr>
            <w:r>
              <w:rPr>
                <w:rFonts w:ascii="Tahoma" w:hAnsi="Tahoma" w:cs="Tahoma"/>
                <w:b/>
              </w:rPr>
              <w:t>NO</w:t>
            </w:r>
          </w:p>
        </w:tc>
        <w:tc>
          <w:tcPr>
            <w:tcW w:w="1377" w:type="pct"/>
            <w:shd w:val="clear" w:color="auto" w:fill="F2F2F2"/>
            <w:vAlign w:val="center"/>
          </w:tcPr>
          <w:p>
            <w:pPr>
              <w:jc w:val="center"/>
              <w:rPr>
                <w:rFonts w:ascii="Tahoma" w:hAnsi="Tahoma" w:cs="Tahoma"/>
                <w:b/>
              </w:rPr>
            </w:pPr>
            <w:r>
              <w:rPr>
                <w:rFonts w:ascii="Tahoma" w:hAnsi="Tahoma" w:cs="Tahoma"/>
                <w:b/>
              </w:rPr>
              <w:t>TUJUAN</w:t>
            </w:r>
          </w:p>
        </w:tc>
        <w:tc>
          <w:tcPr>
            <w:tcW w:w="1720" w:type="pct"/>
            <w:tcBorders>
              <w:bottom w:val="single" w:color="auto" w:sz="4" w:space="0"/>
            </w:tcBorders>
            <w:shd w:val="clear" w:color="auto" w:fill="F2F2F2"/>
            <w:vAlign w:val="center"/>
          </w:tcPr>
          <w:p>
            <w:pPr>
              <w:jc w:val="center"/>
              <w:rPr>
                <w:rFonts w:ascii="Tahoma" w:hAnsi="Tahoma" w:cs="Tahoma"/>
                <w:b/>
              </w:rPr>
            </w:pPr>
            <w:r>
              <w:rPr>
                <w:rFonts w:ascii="Tahoma" w:hAnsi="Tahoma" w:cs="Tahoma"/>
                <w:b/>
              </w:rPr>
              <w:t>SASARAN STRATEGIS</w:t>
            </w:r>
          </w:p>
        </w:tc>
        <w:tc>
          <w:tcPr>
            <w:tcW w:w="1559" w:type="pct"/>
            <w:tcBorders>
              <w:bottom w:val="single" w:color="auto" w:sz="4" w:space="0"/>
            </w:tcBorders>
            <w:shd w:val="clear" w:color="auto" w:fill="F2F2F2"/>
            <w:vAlign w:val="center"/>
          </w:tcPr>
          <w:p>
            <w:pPr>
              <w:ind w:left="-121" w:right="-143"/>
              <w:jc w:val="center"/>
              <w:rPr>
                <w:rFonts w:ascii="Tahoma" w:hAnsi="Tahoma" w:cs="Tahoma"/>
                <w:b/>
              </w:rPr>
            </w:pPr>
            <w:r>
              <w:rPr>
                <w:rFonts w:ascii="Tahoma" w:hAnsi="Tahoma" w:cs="Tahoma"/>
                <w:b/>
              </w:rPr>
              <w:t>INDIKATOR KINERJA SASARAN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blHeader/>
          <w:jc w:val="right"/>
        </w:trPr>
        <w:tc>
          <w:tcPr>
            <w:tcW w:w="344" w:type="pct"/>
            <w:shd w:val="clear" w:color="auto" w:fill="F2F2F2"/>
            <w:vAlign w:val="center"/>
          </w:tcPr>
          <w:p>
            <w:pPr>
              <w:ind w:left="-108" w:right="-108"/>
              <w:jc w:val="center"/>
              <w:rPr>
                <w:rFonts w:ascii="Tahoma" w:hAnsi="Tahoma" w:cs="Tahoma"/>
                <w:b/>
                <w:i/>
              </w:rPr>
            </w:pPr>
            <w:r>
              <w:rPr>
                <w:rFonts w:ascii="Tahoma" w:hAnsi="Tahoma" w:cs="Tahoma"/>
                <w:b/>
                <w:i/>
              </w:rPr>
              <w:t>1</w:t>
            </w:r>
          </w:p>
        </w:tc>
        <w:tc>
          <w:tcPr>
            <w:tcW w:w="1377" w:type="pct"/>
            <w:shd w:val="clear" w:color="auto" w:fill="F2F2F2"/>
            <w:vAlign w:val="center"/>
          </w:tcPr>
          <w:p>
            <w:pPr>
              <w:jc w:val="center"/>
              <w:rPr>
                <w:rFonts w:ascii="Tahoma" w:hAnsi="Tahoma" w:cs="Tahoma"/>
                <w:b/>
                <w:i/>
              </w:rPr>
            </w:pPr>
            <w:r>
              <w:rPr>
                <w:rFonts w:ascii="Tahoma" w:hAnsi="Tahoma" w:cs="Tahoma"/>
                <w:b/>
                <w:i/>
              </w:rPr>
              <w:t>2</w:t>
            </w:r>
          </w:p>
        </w:tc>
        <w:tc>
          <w:tcPr>
            <w:tcW w:w="1720" w:type="pct"/>
            <w:tcBorders>
              <w:bottom w:val="single" w:color="auto" w:sz="4" w:space="0"/>
            </w:tcBorders>
            <w:shd w:val="clear" w:color="auto" w:fill="F2F2F2"/>
            <w:vAlign w:val="center"/>
          </w:tcPr>
          <w:p>
            <w:pPr>
              <w:jc w:val="center"/>
              <w:rPr>
                <w:rFonts w:ascii="Tahoma" w:hAnsi="Tahoma" w:cs="Tahoma"/>
                <w:b/>
                <w:i/>
              </w:rPr>
            </w:pPr>
            <w:r>
              <w:rPr>
                <w:rFonts w:ascii="Tahoma" w:hAnsi="Tahoma" w:cs="Tahoma"/>
                <w:b/>
                <w:i/>
              </w:rPr>
              <w:t>3</w:t>
            </w:r>
          </w:p>
        </w:tc>
        <w:tc>
          <w:tcPr>
            <w:tcW w:w="1559" w:type="pct"/>
            <w:tcBorders>
              <w:bottom w:val="single" w:color="auto" w:sz="4" w:space="0"/>
            </w:tcBorders>
            <w:shd w:val="clear" w:color="auto" w:fill="F2F2F2"/>
            <w:vAlign w:val="center"/>
          </w:tcPr>
          <w:p>
            <w:pPr>
              <w:jc w:val="center"/>
              <w:rPr>
                <w:rFonts w:ascii="Tahoma" w:hAnsi="Tahoma" w:cs="Tahoma"/>
                <w:b/>
                <w:i/>
              </w:rPr>
            </w:pPr>
            <w:r>
              <w:rPr>
                <w:rFonts w:ascii="Tahoma" w:hAnsi="Tahoma" w:cs="Tahoma"/>
                <w:b/>
                <w:i/>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344" w:type="pct"/>
          </w:tcPr>
          <w:p>
            <w:pPr>
              <w:jc w:val="center"/>
              <w:rPr>
                <w:rFonts w:ascii="Tahoma" w:hAnsi="Tahoma" w:cs="Tahoma"/>
              </w:rPr>
            </w:pPr>
            <w:r>
              <w:rPr>
                <w:rFonts w:ascii="Tahoma" w:hAnsi="Tahoma" w:cs="Tahoma"/>
              </w:rPr>
              <w:t>1</w:t>
            </w:r>
          </w:p>
        </w:tc>
        <w:tc>
          <w:tcPr>
            <w:tcW w:w="1377" w:type="pct"/>
            <w:shd w:val="clear" w:color="auto" w:fill="auto"/>
          </w:tcPr>
          <w:p>
            <w:pPr>
              <w:rPr>
                <w:rFonts w:ascii="Tahoma" w:hAnsi="Tahoma" w:cs="Tahoma"/>
              </w:rPr>
            </w:pPr>
            <w:r>
              <w:rPr>
                <w:rFonts w:ascii="Tahoma" w:hAnsi="Tahoma" w:cs="Tahoma"/>
              </w:rPr>
              <w:t>Meningkatnya kualitas tata kelola pemerintahan</w:t>
            </w:r>
          </w:p>
        </w:tc>
        <w:tc>
          <w:tcPr>
            <w:tcW w:w="1720" w:type="pct"/>
            <w:shd w:val="clear" w:color="auto" w:fill="auto"/>
          </w:tcPr>
          <w:p>
            <w:pPr>
              <w:rPr>
                <w:rFonts w:ascii="Tahoma" w:hAnsi="Tahoma" w:cs="Tahoma"/>
              </w:rPr>
            </w:pPr>
            <w:r>
              <w:rPr>
                <w:rFonts w:ascii="Tahoma" w:hAnsi="Tahoma" w:cs="Tahoma"/>
              </w:rPr>
              <w:t>Meningkatnya Kualitas Pelayaan Publik Kecamatan</w:t>
            </w:r>
          </w:p>
          <w:p>
            <w:pPr>
              <w:ind w:left="360"/>
              <w:rPr>
                <w:rFonts w:ascii="Tahoma" w:hAnsi="Tahoma" w:cs="Tahoma"/>
              </w:rPr>
            </w:pPr>
          </w:p>
        </w:tc>
        <w:tc>
          <w:tcPr>
            <w:tcW w:w="1559" w:type="pct"/>
          </w:tcPr>
          <w:p>
            <w:pPr>
              <w:rPr>
                <w:rFonts w:ascii="Tahoma" w:hAnsi="Tahoma" w:cs="Tahoma"/>
              </w:rPr>
            </w:pPr>
            <w:r>
              <w:rPr>
                <w:rFonts w:ascii="Tahoma" w:hAnsi="Tahoma" w:cs="Tahoma"/>
              </w:rPr>
              <w:t>Indeks Kepuasan Masyarakat Kecamatan Sungai Pinang</w:t>
            </w:r>
          </w:p>
        </w:tc>
      </w:tr>
    </w:tbl>
    <w:p>
      <w:pPr>
        <w:pStyle w:val="8"/>
        <w:spacing w:before="0"/>
        <w:ind w:left="1276"/>
        <w:rPr>
          <w:rFonts w:ascii="Arial" w:hAnsi="Arial" w:cs="Arial"/>
          <w:sz w:val="20"/>
        </w:rPr>
      </w:pPr>
    </w:p>
    <w:p>
      <w:pPr>
        <w:pStyle w:val="8"/>
        <w:spacing w:before="0"/>
        <w:ind w:left="0"/>
        <w:jc w:val="center"/>
        <w:rPr>
          <w:rFonts w:ascii="Arial" w:hAnsi="Arial" w:cs="Arial"/>
          <w:szCs w:val="24"/>
        </w:rPr>
      </w:pPr>
      <w:r>
        <w:rPr>
          <w:rFonts w:ascii="Arial" w:hAnsi="Arial" w:cs="Arial"/>
          <w:szCs w:val="24"/>
        </w:rPr>
        <w:t>Tabel 2.2</w:t>
      </w:r>
    </w:p>
    <w:p>
      <w:pPr>
        <w:pStyle w:val="15"/>
        <w:spacing w:after="0" w:line="240" w:lineRule="auto"/>
        <w:ind w:left="360"/>
        <w:jc w:val="center"/>
        <w:rPr>
          <w:rFonts w:ascii="Arial" w:hAnsi="Arial" w:cs="Arial"/>
          <w:sz w:val="24"/>
          <w:szCs w:val="24"/>
        </w:rPr>
      </w:pPr>
      <w:r>
        <w:rPr>
          <w:rFonts w:ascii="Arial" w:hAnsi="Arial" w:cs="Arial"/>
          <w:sz w:val="24"/>
          <w:szCs w:val="24"/>
        </w:rPr>
        <w:t>Tujuan, Sasaran, Strategi dan Kebijakan</w:t>
      </w:r>
    </w:p>
    <w:p>
      <w:pPr>
        <w:jc w:val="center"/>
        <w:rPr>
          <w:rFonts w:ascii="Arial" w:hAnsi="Arial" w:cs="Arial"/>
          <w:bCs/>
          <w:color w:val="000000"/>
          <w:sz w:val="24"/>
          <w:szCs w:val="24"/>
        </w:rPr>
      </w:pPr>
      <w:r>
        <w:rPr>
          <w:rFonts w:ascii="Arial" w:hAnsi="Arial" w:cs="Arial"/>
          <w:bCs/>
          <w:color w:val="000000"/>
          <w:sz w:val="24"/>
          <w:szCs w:val="24"/>
        </w:rPr>
        <w:t>Kecamatan Astambul</w:t>
      </w:r>
    </w:p>
    <w:tbl>
      <w:tblPr>
        <w:tblStyle w:val="4"/>
        <w:tblW w:w="93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24"/>
        <w:gridCol w:w="1766"/>
        <w:gridCol w:w="2625"/>
        <w:gridCol w:w="33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9324" w:type="dxa"/>
            <w:gridSpan w:val="4"/>
            <w:tcBorders>
              <w:top w:val="single" w:color="000000" w:sz="6" w:space="0"/>
              <w:left w:val="single" w:color="000000" w:sz="6" w:space="0"/>
              <w:bottom w:val="single" w:color="000000" w:sz="6" w:space="0"/>
              <w:right w:val="single" w:color="000000" w:sz="6" w:space="0"/>
            </w:tcBorders>
            <w:shd w:val="clear" w:color="auto" w:fill="94B3D6"/>
          </w:tcPr>
          <w:p>
            <w:pPr>
              <w:widowControl w:val="0"/>
              <w:autoSpaceDE w:val="0"/>
              <w:autoSpaceDN w:val="0"/>
              <w:spacing w:after="0" w:line="360" w:lineRule="auto"/>
              <w:rPr>
                <w:rFonts w:ascii="Arial" w:hAnsi="Arial" w:eastAsia="Cambria" w:cs="Arial"/>
                <w:sz w:val="18"/>
                <w:szCs w:val="18"/>
              </w:rPr>
            </w:pPr>
            <w:bookmarkStart w:id="0" w:name="_Hlk91228315"/>
            <w:r>
              <w:rPr>
                <w:rFonts w:ascii="Arial" w:hAnsi="Arial" w:eastAsia="Cambria" w:cs="Arial"/>
                <w:sz w:val="18"/>
                <w:szCs w:val="18"/>
              </w:rPr>
              <w:t>Visi : Terwujudnya Kabupaten Banjar Yang Maju, Mandiri dan Agamis.</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0" w:hRule="atLeast"/>
          <w:jc w:val="center"/>
        </w:trPr>
        <w:tc>
          <w:tcPr>
            <w:tcW w:w="9324" w:type="dxa"/>
            <w:gridSpan w:val="4"/>
            <w:tcBorders>
              <w:top w:val="single" w:color="000000" w:sz="6" w:space="0"/>
              <w:left w:val="single" w:color="000000" w:sz="6" w:space="0"/>
              <w:bottom w:val="single" w:color="000000" w:sz="6" w:space="0"/>
              <w:right w:val="single" w:color="000000" w:sz="6" w:space="0"/>
            </w:tcBorders>
            <w:shd w:val="clear" w:color="auto" w:fill="E4B8B7"/>
          </w:tcPr>
          <w:p>
            <w:pPr>
              <w:widowControl w:val="0"/>
              <w:autoSpaceDE w:val="0"/>
              <w:autoSpaceDN w:val="0"/>
              <w:spacing w:after="0" w:line="360" w:lineRule="auto"/>
              <w:rPr>
                <w:rFonts w:ascii="Arial" w:hAnsi="Arial" w:eastAsia="Cambria" w:cs="Arial"/>
                <w:sz w:val="18"/>
                <w:szCs w:val="18"/>
              </w:rPr>
            </w:pPr>
            <w:r>
              <w:rPr>
                <w:rFonts w:ascii="Arial" w:hAnsi="Arial" w:eastAsia="Cambria" w:cs="Arial"/>
                <w:sz w:val="18"/>
                <w:szCs w:val="18"/>
              </w:rPr>
              <w:t>Misi : Penyelenggaraan Kepemerintahan Yang Amanah, Baik , Bersih dan Efektif</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9" w:hRule="atLeast"/>
          <w:jc w:val="center"/>
        </w:trPr>
        <w:tc>
          <w:tcPr>
            <w:tcW w:w="1624" w:type="dxa"/>
            <w:tcBorders>
              <w:top w:val="single" w:color="000000" w:sz="6" w:space="0"/>
              <w:left w:val="single" w:color="000000" w:sz="6" w:space="0"/>
              <w:bottom w:val="single" w:color="000000" w:sz="6" w:space="0"/>
              <w:right w:val="single" w:color="000000" w:sz="6" w:space="0"/>
            </w:tcBorders>
            <w:shd w:val="clear" w:color="auto" w:fill="D5E2BB"/>
          </w:tcPr>
          <w:p>
            <w:pPr>
              <w:widowControl w:val="0"/>
              <w:autoSpaceDE w:val="0"/>
              <w:autoSpaceDN w:val="0"/>
              <w:spacing w:after="0" w:line="360" w:lineRule="auto"/>
              <w:jc w:val="center"/>
              <w:rPr>
                <w:rFonts w:ascii="Arial" w:hAnsi="Arial" w:eastAsia="Cambria" w:cs="Arial"/>
                <w:sz w:val="18"/>
                <w:szCs w:val="18"/>
              </w:rPr>
            </w:pPr>
            <w:r>
              <w:rPr>
                <w:rFonts w:ascii="Arial" w:hAnsi="Arial" w:eastAsia="Cambria" w:cs="Arial"/>
                <w:sz w:val="18"/>
                <w:szCs w:val="18"/>
              </w:rPr>
              <w:t>TUJUAN</w:t>
            </w:r>
          </w:p>
        </w:tc>
        <w:tc>
          <w:tcPr>
            <w:tcW w:w="1766" w:type="dxa"/>
            <w:tcBorders>
              <w:top w:val="single" w:color="000000" w:sz="6" w:space="0"/>
              <w:left w:val="single" w:color="000000" w:sz="6" w:space="0"/>
              <w:bottom w:val="single" w:color="000000" w:sz="6" w:space="0"/>
              <w:right w:val="single" w:color="000000" w:sz="6" w:space="0"/>
            </w:tcBorders>
            <w:shd w:val="clear" w:color="auto" w:fill="D5E2BB"/>
          </w:tcPr>
          <w:p>
            <w:pPr>
              <w:widowControl w:val="0"/>
              <w:autoSpaceDE w:val="0"/>
              <w:autoSpaceDN w:val="0"/>
              <w:spacing w:after="0" w:line="360" w:lineRule="auto"/>
              <w:ind w:left="220" w:leftChars="100"/>
              <w:jc w:val="center"/>
              <w:rPr>
                <w:rFonts w:ascii="Arial" w:hAnsi="Arial" w:eastAsia="Cambria" w:cs="Arial"/>
                <w:sz w:val="18"/>
                <w:szCs w:val="18"/>
              </w:rPr>
            </w:pPr>
            <w:r>
              <w:rPr>
                <w:rFonts w:ascii="Arial" w:hAnsi="Arial" w:eastAsia="Cambria" w:cs="Arial"/>
                <w:sz w:val="18"/>
                <w:szCs w:val="18"/>
              </w:rPr>
              <w:t>SASARAN</w:t>
            </w:r>
          </w:p>
        </w:tc>
        <w:tc>
          <w:tcPr>
            <w:tcW w:w="2625" w:type="dxa"/>
            <w:tcBorders>
              <w:top w:val="single" w:color="000000" w:sz="6" w:space="0"/>
              <w:left w:val="single" w:color="000000" w:sz="6" w:space="0"/>
              <w:bottom w:val="single" w:color="000000" w:sz="6" w:space="0"/>
              <w:right w:val="single" w:color="000000" w:sz="6" w:space="0"/>
            </w:tcBorders>
            <w:shd w:val="clear" w:color="auto" w:fill="D5E2BB"/>
          </w:tcPr>
          <w:p>
            <w:pPr>
              <w:widowControl w:val="0"/>
              <w:autoSpaceDE w:val="0"/>
              <w:autoSpaceDN w:val="0"/>
              <w:spacing w:after="0" w:line="360" w:lineRule="auto"/>
              <w:ind w:left="300" w:right="160" w:hanging="270"/>
              <w:jc w:val="center"/>
              <w:rPr>
                <w:rFonts w:ascii="Arial" w:hAnsi="Arial" w:eastAsia="Cambria" w:cs="Arial"/>
                <w:sz w:val="18"/>
                <w:szCs w:val="18"/>
              </w:rPr>
            </w:pPr>
            <w:r>
              <w:rPr>
                <w:rFonts w:ascii="Arial" w:hAnsi="Arial" w:eastAsia="Cambria" w:cs="Arial"/>
                <w:sz w:val="18"/>
                <w:szCs w:val="18"/>
              </w:rPr>
              <w:t>STRATEGI</w:t>
            </w:r>
          </w:p>
        </w:tc>
        <w:tc>
          <w:tcPr>
            <w:tcW w:w="3309" w:type="dxa"/>
            <w:tcBorders>
              <w:top w:val="single" w:color="000000" w:sz="6" w:space="0"/>
              <w:left w:val="single" w:color="000000" w:sz="6" w:space="0"/>
              <w:bottom w:val="single" w:color="000000" w:sz="6" w:space="0"/>
              <w:right w:val="single" w:color="000000" w:sz="6" w:space="0"/>
            </w:tcBorders>
            <w:shd w:val="clear" w:color="auto" w:fill="D5E2BB"/>
          </w:tcPr>
          <w:p>
            <w:pPr>
              <w:widowControl w:val="0"/>
              <w:autoSpaceDE w:val="0"/>
              <w:autoSpaceDN w:val="0"/>
              <w:spacing w:after="0" w:line="360" w:lineRule="auto"/>
              <w:jc w:val="center"/>
              <w:rPr>
                <w:rFonts w:ascii="Arial" w:hAnsi="Arial" w:eastAsia="Cambria" w:cs="Arial"/>
                <w:sz w:val="18"/>
                <w:szCs w:val="18"/>
              </w:rPr>
            </w:pPr>
            <w:r>
              <w:rPr>
                <w:rFonts w:ascii="Arial" w:hAnsi="Arial" w:eastAsia="Cambria" w:cs="Arial"/>
                <w:sz w:val="18"/>
                <w:szCs w:val="18"/>
              </w:rPr>
              <w:t>ARAH KEBIJAKAN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jc w:val="center"/>
        </w:trPr>
        <w:tc>
          <w:tcPr>
            <w:tcW w:w="1624" w:type="dxa"/>
            <w:vMerge w:val="restart"/>
            <w:tcBorders>
              <w:top w:val="single" w:color="000000" w:sz="6" w:space="0"/>
              <w:left w:val="single" w:color="000000" w:sz="6" w:space="0"/>
              <w:bottom w:val="single" w:color="000000" w:sz="6" w:space="0"/>
              <w:right w:val="single" w:color="000000" w:sz="6" w:space="0"/>
            </w:tcBorders>
            <w:shd w:val="clear" w:color="auto" w:fill="auto"/>
          </w:tcPr>
          <w:p>
            <w:pPr>
              <w:widowControl w:val="0"/>
              <w:autoSpaceDE w:val="0"/>
              <w:autoSpaceDN w:val="0"/>
              <w:spacing w:after="0" w:line="360" w:lineRule="auto"/>
              <w:ind w:left="90"/>
              <w:rPr>
                <w:rFonts w:ascii="Arial" w:hAnsi="Arial" w:eastAsia="Cambria" w:cs="Arial"/>
                <w:color w:val="000000"/>
                <w:sz w:val="18"/>
                <w:szCs w:val="18"/>
              </w:rPr>
            </w:pPr>
            <w:r>
              <w:rPr>
                <w:rFonts w:ascii="Arial" w:hAnsi="Arial" w:eastAsia="Cambria" w:cs="Arial"/>
                <w:color w:val="000000"/>
                <w:sz w:val="18"/>
                <w:szCs w:val="18"/>
              </w:rPr>
              <w:t>Terselenggaranya Reformasi  Dalam Pelayanan Publik</w:t>
            </w:r>
          </w:p>
        </w:tc>
        <w:tc>
          <w:tcPr>
            <w:tcW w:w="1766" w:type="dxa"/>
            <w:vMerge w:val="restart"/>
            <w:tcBorders>
              <w:top w:val="single" w:color="000000" w:sz="6" w:space="0"/>
              <w:left w:val="single" w:color="000000" w:sz="6" w:space="0"/>
              <w:bottom w:val="single" w:color="000000" w:sz="6" w:space="0"/>
              <w:right w:val="single" w:color="000000" w:sz="6" w:space="0"/>
            </w:tcBorders>
            <w:shd w:val="clear" w:color="auto" w:fill="auto"/>
          </w:tcPr>
          <w:p>
            <w:pPr>
              <w:widowControl w:val="0"/>
              <w:autoSpaceDE w:val="0"/>
              <w:autoSpaceDN w:val="0"/>
              <w:spacing w:after="0" w:line="360" w:lineRule="auto"/>
              <w:ind w:left="88" w:leftChars="40" w:right="79" w:rightChars="36"/>
              <w:rPr>
                <w:rFonts w:ascii="Arial" w:hAnsi="Arial" w:eastAsia="Cambria" w:cs="Arial"/>
                <w:b/>
                <w:bCs/>
                <w:color w:val="000000"/>
                <w:sz w:val="18"/>
                <w:szCs w:val="18"/>
              </w:rPr>
            </w:pPr>
            <w:r>
              <w:rPr>
                <w:rFonts w:ascii="Arial" w:hAnsi="Arial" w:eastAsia="Cambria" w:cs="Arial"/>
                <w:b/>
                <w:bCs/>
                <w:color w:val="000000"/>
                <w:sz w:val="18"/>
                <w:szCs w:val="18"/>
              </w:rPr>
              <w:t>Meningkatnya Penyelenggaraan Pemerintahan  di Kecamatan</w:t>
            </w:r>
          </w:p>
        </w:tc>
        <w:tc>
          <w:tcPr>
            <w:tcW w:w="2625" w:type="dxa"/>
            <w:tcBorders>
              <w:top w:val="single" w:color="000000" w:sz="6" w:space="0"/>
              <w:left w:val="single" w:color="000000" w:sz="6" w:space="0"/>
              <w:bottom w:val="single" w:color="000000" w:sz="6" w:space="0"/>
              <w:right w:val="single" w:color="000000" w:sz="6" w:space="0"/>
            </w:tcBorders>
            <w:shd w:val="clear" w:color="auto" w:fill="auto"/>
          </w:tcPr>
          <w:p>
            <w:pPr>
              <w:pStyle w:val="26"/>
              <w:widowControl/>
              <w:numPr>
                <w:ilvl w:val="0"/>
                <w:numId w:val="10"/>
              </w:numPr>
              <w:autoSpaceDE/>
              <w:spacing w:after="160" w:line="256" w:lineRule="auto"/>
              <w:ind w:left="300" w:right="160" w:hanging="270"/>
              <w:rPr>
                <w:rFonts w:ascii="Arial" w:hAnsi="Arial" w:eastAsia="Cambria" w:cs="Arial"/>
                <w:color w:val="000000"/>
                <w:sz w:val="18"/>
                <w:szCs w:val="18"/>
                <w:lang w:val="id-ID"/>
              </w:rPr>
            </w:pPr>
            <w:r>
              <w:rPr>
                <w:rFonts w:ascii="Arial" w:hAnsi="Arial" w:eastAsia="Cambria" w:cs="Arial"/>
                <w:color w:val="000000"/>
                <w:sz w:val="18"/>
                <w:szCs w:val="18"/>
                <w:lang w:val="id-ID"/>
              </w:rPr>
              <w:t xml:space="preserve">Pengoptimalan  fasilitasi pembinaan dan pengawasan  penyelenggaraan pemerintahan desa/kelurahan </w:t>
            </w:r>
          </w:p>
          <w:p>
            <w:pPr>
              <w:widowControl w:val="0"/>
              <w:autoSpaceDE w:val="0"/>
              <w:autoSpaceDN w:val="0"/>
              <w:spacing w:after="0" w:line="360" w:lineRule="auto"/>
              <w:ind w:left="300" w:right="160" w:hanging="270"/>
              <w:rPr>
                <w:rFonts w:ascii="Arial" w:hAnsi="Arial" w:eastAsia="Cambria" w:cs="Arial"/>
                <w:color w:val="000000"/>
                <w:sz w:val="18"/>
                <w:szCs w:val="18"/>
              </w:rPr>
            </w:pPr>
          </w:p>
        </w:tc>
        <w:tc>
          <w:tcPr>
            <w:tcW w:w="3309" w:type="dxa"/>
            <w:tcBorders>
              <w:top w:val="single" w:color="000000" w:sz="6" w:space="0"/>
              <w:left w:val="single" w:color="000000" w:sz="6" w:space="0"/>
              <w:bottom w:val="single" w:color="000000" w:sz="6" w:space="0"/>
              <w:right w:val="single" w:color="000000" w:sz="6" w:space="0"/>
            </w:tcBorders>
            <w:shd w:val="clear" w:color="auto" w:fill="auto"/>
          </w:tcPr>
          <w:p>
            <w:pPr>
              <w:widowControl w:val="0"/>
              <w:autoSpaceDE w:val="0"/>
              <w:autoSpaceDN w:val="0"/>
              <w:spacing w:after="0" w:line="360" w:lineRule="auto"/>
              <w:ind w:left="100" w:right="140"/>
              <w:jc w:val="both"/>
              <w:rPr>
                <w:rFonts w:ascii="Arial" w:hAnsi="Arial" w:eastAsia="Cambria" w:cs="Arial"/>
                <w:bCs/>
                <w:color w:val="000000"/>
                <w:sz w:val="18"/>
                <w:szCs w:val="18"/>
              </w:rPr>
            </w:pPr>
            <w:r>
              <w:rPr>
                <w:rFonts w:ascii="Arial" w:hAnsi="Arial" w:eastAsia="Cambria" w:cs="Arial"/>
                <w:color w:val="000000"/>
                <w:sz w:val="18"/>
                <w:szCs w:val="18"/>
                <w:lang w:eastAsia="zh-CN" w:bidi="ar"/>
              </w:rPr>
              <w:t>Meningkatkan  pengelolaan data</w:t>
            </w:r>
            <w:r>
              <w:rPr>
                <w:rFonts w:ascii="Arial" w:hAnsi="Arial" w:eastAsia="Cambria" w:cs="Arial"/>
                <w:bCs/>
                <w:color w:val="000000"/>
                <w:sz w:val="18"/>
                <w:szCs w:val="18"/>
                <w:lang w:eastAsia="zh-CN" w:bidi="ar"/>
              </w:rPr>
              <w:t xml:space="preserve"> pemerintahan Desa/Kelurahan</w:t>
            </w:r>
            <w:r>
              <w:rPr>
                <w:rFonts w:ascii="Arial" w:hAnsi="Arial" w:eastAsia="Cambria" w:cs="Arial"/>
                <w:bCs/>
                <w:color w:val="000000"/>
                <w:sz w:val="18"/>
                <w:szCs w:val="18"/>
                <w:lang w:val="en-US" w:eastAsia="zh-CN" w:bidi="ar"/>
              </w:rPr>
              <w:t xml:space="preserve"> </w:t>
            </w:r>
            <w:r>
              <w:rPr>
                <w:rFonts w:ascii="Arial" w:hAnsi="Arial" w:eastAsia="Cambria" w:cs="Arial"/>
                <w:bCs/>
                <w:color w:val="000000"/>
                <w:sz w:val="18"/>
                <w:szCs w:val="18"/>
                <w:lang w:eastAsia="zh-CN" w:bidi="ar"/>
              </w:rPr>
              <w:t>dan meningkatkan  pelaksanaan</w:t>
            </w:r>
            <w:r>
              <w:rPr>
                <w:rFonts w:ascii="Arial" w:hAnsi="Arial" w:eastAsia="Cambria" w:cs="Arial"/>
                <w:bCs/>
                <w:color w:val="000000"/>
                <w:sz w:val="18"/>
                <w:szCs w:val="18"/>
                <w:lang w:val="en-US" w:eastAsia="zh-CN" w:bidi="ar"/>
              </w:rPr>
              <w:t xml:space="preserve"> </w:t>
            </w:r>
            <w:r>
              <w:rPr>
                <w:rFonts w:ascii="Arial" w:hAnsi="Arial" w:eastAsia="Cambria" w:cs="Arial"/>
                <w:bCs/>
                <w:color w:val="000000"/>
                <w:sz w:val="18"/>
                <w:szCs w:val="18"/>
                <w:lang w:eastAsia="zh-CN" w:bidi="ar"/>
              </w:rPr>
              <w:t>Fasilitasi Penyelenggaraan Pemerintahan Desa/Kelurahan di Kecamatan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2" w:hRule="atLeast"/>
          <w:jc w:val="center"/>
        </w:trPr>
        <w:tc>
          <w:tcPr>
            <w:tcW w:w="1624" w:type="dxa"/>
            <w:vMerge w:val="continue"/>
            <w:tcBorders>
              <w:top w:val="single" w:color="000000" w:sz="6" w:space="0"/>
              <w:left w:val="single" w:color="000000" w:sz="6" w:space="0"/>
              <w:bottom w:val="single" w:color="000000" w:sz="6" w:space="0"/>
              <w:right w:val="single" w:color="000000" w:sz="6" w:space="0"/>
            </w:tcBorders>
            <w:shd w:val="clear" w:color="auto" w:fill="auto"/>
          </w:tcPr>
          <w:p>
            <w:pPr>
              <w:rPr>
                <w:rFonts w:ascii="Arial" w:hAnsi="Arial" w:cs="Arial"/>
                <w:sz w:val="18"/>
                <w:szCs w:val="18"/>
              </w:rPr>
            </w:pPr>
          </w:p>
        </w:tc>
        <w:tc>
          <w:tcPr>
            <w:tcW w:w="1766" w:type="dxa"/>
            <w:vMerge w:val="continue"/>
            <w:tcBorders>
              <w:top w:val="single" w:color="000000" w:sz="6" w:space="0"/>
              <w:left w:val="single" w:color="000000" w:sz="6" w:space="0"/>
              <w:bottom w:val="single" w:color="000000" w:sz="6" w:space="0"/>
              <w:right w:val="single" w:color="000000" w:sz="6" w:space="0"/>
            </w:tcBorders>
            <w:shd w:val="clear" w:color="auto" w:fill="auto"/>
          </w:tcPr>
          <w:p>
            <w:pPr>
              <w:rPr>
                <w:rFonts w:ascii="Arial" w:hAnsi="Arial" w:cs="Arial"/>
                <w:sz w:val="18"/>
                <w:szCs w:val="18"/>
              </w:rPr>
            </w:pPr>
          </w:p>
        </w:tc>
        <w:tc>
          <w:tcPr>
            <w:tcW w:w="2625" w:type="dxa"/>
            <w:tcBorders>
              <w:top w:val="single" w:color="000000" w:sz="6" w:space="0"/>
              <w:left w:val="single" w:color="000000" w:sz="6" w:space="0"/>
              <w:bottom w:val="single" w:color="000000" w:sz="6" w:space="0"/>
              <w:right w:val="single" w:color="000000" w:sz="6" w:space="0"/>
            </w:tcBorders>
            <w:shd w:val="clear" w:color="auto" w:fill="auto"/>
          </w:tcPr>
          <w:p>
            <w:pPr>
              <w:pStyle w:val="26"/>
              <w:widowControl/>
              <w:numPr>
                <w:ilvl w:val="0"/>
                <w:numId w:val="10"/>
              </w:numPr>
              <w:autoSpaceDE/>
              <w:spacing w:after="160" w:line="256" w:lineRule="auto"/>
              <w:ind w:left="300" w:right="160" w:hanging="270"/>
              <w:jc w:val="both"/>
              <w:rPr>
                <w:rFonts w:ascii="Arial" w:hAnsi="Arial" w:eastAsia="Cambria" w:cs="Arial"/>
                <w:color w:val="000000"/>
                <w:sz w:val="18"/>
                <w:szCs w:val="18"/>
                <w:lang w:val="id-ID"/>
              </w:rPr>
            </w:pPr>
            <w:r>
              <w:rPr>
                <w:rFonts w:ascii="Arial" w:hAnsi="Arial" w:eastAsia="Cambria" w:cs="Arial"/>
                <w:color w:val="000000"/>
                <w:sz w:val="18"/>
                <w:szCs w:val="18"/>
                <w:lang w:val="id-ID"/>
              </w:rPr>
              <w:t>Pengoptimalan Penyelenggaraan Urusan Pemerintahan Umum</w:t>
            </w:r>
          </w:p>
        </w:tc>
        <w:tc>
          <w:tcPr>
            <w:tcW w:w="3309" w:type="dxa"/>
            <w:tcBorders>
              <w:top w:val="single" w:color="000000" w:sz="6" w:space="0"/>
              <w:left w:val="single" w:color="000000" w:sz="6" w:space="0"/>
              <w:bottom w:val="single" w:color="000000" w:sz="6" w:space="0"/>
              <w:right w:val="single" w:color="000000" w:sz="6" w:space="0"/>
            </w:tcBorders>
            <w:shd w:val="clear" w:color="auto" w:fill="auto"/>
          </w:tcPr>
          <w:p>
            <w:pPr>
              <w:widowControl w:val="0"/>
              <w:autoSpaceDE w:val="0"/>
              <w:autoSpaceDN w:val="0"/>
              <w:spacing w:after="0" w:line="360" w:lineRule="auto"/>
              <w:ind w:left="100" w:right="140"/>
              <w:jc w:val="both"/>
              <w:rPr>
                <w:rFonts w:ascii="Arial" w:hAnsi="Arial" w:eastAsia="Cambria" w:cs="Arial"/>
                <w:color w:val="000000"/>
                <w:sz w:val="18"/>
                <w:szCs w:val="18"/>
              </w:rPr>
            </w:pPr>
            <w:r>
              <w:rPr>
                <w:rFonts w:ascii="Arial" w:hAnsi="Arial" w:eastAsia="Cambria" w:cs="Arial"/>
                <w:color w:val="000000"/>
                <w:sz w:val="18"/>
                <w:szCs w:val="18"/>
              </w:rPr>
              <w:t>Mengoptimalkan</w:t>
            </w:r>
            <w:r>
              <w:rPr>
                <w:rFonts w:ascii="Arial" w:hAnsi="Arial" w:eastAsia="Cambria" w:cs="Arial"/>
                <w:color w:val="000000"/>
                <w:sz w:val="18"/>
                <w:szCs w:val="18"/>
                <w:lang w:val="en-US"/>
              </w:rPr>
              <w:t xml:space="preserve"> </w:t>
            </w:r>
            <w:r>
              <w:rPr>
                <w:rFonts w:ascii="Arial" w:hAnsi="Arial" w:eastAsia="Cambria" w:cs="Arial"/>
                <w:color w:val="000000"/>
                <w:sz w:val="18"/>
                <w:szCs w:val="18"/>
              </w:rPr>
              <w:t>pengelolaan data Pemerintahan Umum Kecamatan dan meningkatkan  pelaksanaan penyelenggaraan Pemerintahan Umum Kecamatan.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16" w:hRule="atLeast"/>
          <w:jc w:val="center"/>
        </w:trPr>
        <w:tc>
          <w:tcPr>
            <w:tcW w:w="1624" w:type="dxa"/>
            <w:vMerge w:val="continue"/>
            <w:tcBorders>
              <w:top w:val="single" w:color="000000" w:sz="6" w:space="0"/>
              <w:left w:val="single" w:color="000000" w:sz="6" w:space="0"/>
              <w:bottom w:val="single" w:color="000000" w:sz="6" w:space="0"/>
              <w:right w:val="single" w:color="000000" w:sz="6" w:space="0"/>
            </w:tcBorders>
            <w:shd w:val="clear" w:color="auto" w:fill="auto"/>
          </w:tcPr>
          <w:p>
            <w:pPr>
              <w:rPr>
                <w:rFonts w:ascii="Arial" w:hAnsi="Arial" w:cs="Arial"/>
                <w:sz w:val="18"/>
                <w:szCs w:val="18"/>
              </w:rPr>
            </w:pPr>
          </w:p>
        </w:tc>
        <w:tc>
          <w:tcPr>
            <w:tcW w:w="1766" w:type="dxa"/>
            <w:vMerge w:val="continue"/>
            <w:tcBorders>
              <w:top w:val="single" w:color="000000" w:sz="6" w:space="0"/>
              <w:left w:val="single" w:color="000000" w:sz="6" w:space="0"/>
              <w:bottom w:val="single" w:color="000000" w:sz="6" w:space="0"/>
              <w:right w:val="single" w:color="000000" w:sz="6" w:space="0"/>
            </w:tcBorders>
            <w:shd w:val="clear" w:color="auto" w:fill="auto"/>
          </w:tcPr>
          <w:p>
            <w:pPr>
              <w:rPr>
                <w:rFonts w:ascii="Arial" w:hAnsi="Arial" w:cs="Arial"/>
                <w:sz w:val="18"/>
                <w:szCs w:val="18"/>
              </w:rPr>
            </w:pPr>
          </w:p>
        </w:tc>
        <w:tc>
          <w:tcPr>
            <w:tcW w:w="2625" w:type="dxa"/>
            <w:tcBorders>
              <w:top w:val="nil"/>
              <w:left w:val="single" w:color="000000" w:sz="6" w:space="0"/>
              <w:bottom w:val="single" w:color="000000" w:sz="6" w:space="0"/>
              <w:right w:val="single" w:color="000000" w:sz="6" w:space="0"/>
            </w:tcBorders>
            <w:shd w:val="clear" w:color="auto" w:fill="auto"/>
          </w:tcPr>
          <w:p>
            <w:pPr>
              <w:pStyle w:val="26"/>
              <w:widowControl/>
              <w:numPr>
                <w:ilvl w:val="0"/>
                <w:numId w:val="10"/>
              </w:numPr>
              <w:autoSpaceDE/>
              <w:spacing w:after="160" w:line="256" w:lineRule="auto"/>
              <w:ind w:left="300" w:right="160" w:hanging="270"/>
              <w:jc w:val="both"/>
              <w:rPr>
                <w:rFonts w:ascii="Arial" w:hAnsi="Arial" w:eastAsia="Cambria" w:cs="Arial"/>
                <w:color w:val="000000"/>
                <w:sz w:val="18"/>
                <w:szCs w:val="18"/>
                <w:lang w:val="id-ID"/>
              </w:rPr>
            </w:pPr>
            <w:r>
              <w:rPr>
                <w:rFonts w:ascii="Arial" w:hAnsi="Arial" w:eastAsia="Cambria" w:cs="Arial"/>
                <w:color w:val="000000"/>
                <w:sz w:val="18"/>
                <w:szCs w:val="18"/>
                <w:lang w:val="id-ID"/>
              </w:rPr>
              <w:t>Pengoptimalan Koordinasi dan Fasilitasi Penyelenggaraan ketentraman dan ketertiban umum serta perlindungan masyarakat di kecamatan</w:t>
            </w:r>
          </w:p>
        </w:tc>
        <w:tc>
          <w:tcPr>
            <w:tcW w:w="3309" w:type="dxa"/>
            <w:tcBorders>
              <w:top w:val="single" w:color="000000" w:sz="6" w:space="0"/>
              <w:left w:val="single" w:color="000000" w:sz="6" w:space="0"/>
              <w:bottom w:val="single" w:color="000000" w:sz="6" w:space="0"/>
              <w:right w:val="single" w:color="000000" w:sz="6" w:space="0"/>
            </w:tcBorders>
            <w:shd w:val="clear" w:color="auto" w:fill="auto"/>
          </w:tcPr>
          <w:p>
            <w:pPr>
              <w:widowControl w:val="0"/>
              <w:autoSpaceDE w:val="0"/>
              <w:autoSpaceDN w:val="0"/>
              <w:spacing w:after="0" w:line="360" w:lineRule="auto"/>
              <w:ind w:left="100" w:right="140"/>
              <w:jc w:val="both"/>
              <w:rPr>
                <w:rFonts w:ascii="Arial" w:hAnsi="Arial" w:eastAsia="Cambria" w:cs="Arial"/>
                <w:color w:val="000000"/>
                <w:sz w:val="18"/>
                <w:szCs w:val="18"/>
              </w:rPr>
            </w:pPr>
            <w:r>
              <w:rPr>
                <w:rFonts w:ascii="Arial" w:hAnsi="Arial" w:eastAsia="Cambria" w:cs="Arial"/>
                <w:color w:val="000000"/>
                <w:sz w:val="18"/>
                <w:szCs w:val="18"/>
              </w:rPr>
              <w:t>Mengoptimalkan pengelolaan data  Trantibumlinmas di Kecamatan  dan  meningkatkan pelaksanaan  koordinasi Trantibumlinmas di Kecamatan antar pihak-pihak terkait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9" w:hRule="atLeast"/>
          <w:jc w:val="center"/>
        </w:trPr>
        <w:tc>
          <w:tcPr>
            <w:tcW w:w="1624" w:type="dxa"/>
            <w:vMerge w:val="continue"/>
            <w:tcBorders>
              <w:top w:val="single" w:color="000000" w:sz="6" w:space="0"/>
              <w:left w:val="single" w:color="000000" w:sz="6" w:space="0"/>
              <w:bottom w:val="single" w:color="000000" w:sz="6" w:space="0"/>
              <w:right w:val="single" w:color="000000" w:sz="6" w:space="0"/>
            </w:tcBorders>
            <w:shd w:val="clear" w:color="auto" w:fill="auto"/>
          </w:tcPr>
          <w:p>
            <w:pPr>
              <w:rPr>
                <w:rFonts w:ascii="Arial" w:hAnsi="Arial" w:cs="Arial"/>
                <w:sz w:val="18"/>
                <w:szCs w:val="18"/>
              </w:rPr>
            </w:pPr>
          </w:p>
        </w:tc>
        <w:tc>
          <w:tcPr>
            <w:tcW w:w="1766" w:type="dxa"/>
            <w:vMerge w:val="continue"/>
            <w:tcBorders>
              <w:top w:val="single" w:color="000000" w:sz="6" w:space="0"/>
              <w:left w:val="single" w:color="000000" w:sz="6" w:space="0"/>
              <w:bottom w:val="single" w:color="000000" w:sz="6" w:space="0"/>
              <w:right w:val="single" w:color="000000" w:sz="6" w:space="0"/>
            </w:tcBorders>
            <w:shd w:val="clear" w:color="auto" w:fill="auto"/>
          </w:tcPr>
          <w:p>
            <w:pPr>
              <w:rPr>
                <w:rFonts w:ascii="Arial" w:hAnsi="Arial" w:cs="Arial"/>
                <w:sz w:val="18"/>
                <w:szCs w:val="18"/>
              </w:rPr>
            </w:pPr>
          </w:p>
        </w:tc>
        <w:tc>
          <w:tcPr>
            <w:tcW w:w="2625" w:type="dxa"/>
            <w:tcBorders>
              <w:top w:val="nil"/>
              <w:left w:val="single" w:color="000000" w:sz="6" w:space="0"/>
              <w:bottom w:val="single" w:color="000000" w:sz="6" w:space="0"/>
              <w:right w:val="single" w:color="000000" w:sz="6" w:space="0"/>
            </w:tcBorders>
            <w:shd w:val="clear" w:color="auto" w:fill="auto"/>
          </w:tcPr>
          <w:p>
            <w:pPr>
              <w:pStyle w:val="26"/>
              <w:widowControl/>
              <w:numPr>
                <w:ilvl w:val="0"/>
                <w:numId w:val="10"/>
              </w:numPr>
              <w:autoSpaceDE/>
              <w:spacing w:after="160" w:line="256" w:lineRule="auto"/>
              <w:ind w:left="300" w:right="160" w:hanging="270"/>
              <w:jc w:val="both"/>
              <w:rPr>
                <w:rFonts w:ascii="Arial" w:hAnsi="Arial" w:eastAsia="Cambria" w:cs="Arial"/>
                <w:color w:val="000000"/>
                <w:sz w:val="18"/>
                <w:szCs w:val="18"/>
                <w:lang w:val="id-ID"/>
              </w:rPr>
            </w:pPr>
            <w:r>
              <w:rPr>
                <w:rFonts w:ascii="Arial" w:hAnsi="Arial" w:eastAsia="Cambria" w:cs="Arial"/>
                <w:color w:val="000000"/>
                <w:sz w:val="18"/>
                <w:szCs w:val="18"/>
                <w:lang w:val="id-ID"/>
              </w:rPr>
              <w:t xml:space="preserve">Pengoptimalan Koordinasi dan Fasilitasi Penyelenggaraan Pelimpahan Kewenangan Pemerlu Pelayanan Kesejahteraan Sosial  dan Kebencanaan  di Kecamatan </w:t>
            </w:r>
          </w:p>
          <w:p>
            <w:pPr>
              <w:widowControl w:val="0"/>
              <w:autoSpaceDE w:val="0"/>
              <w:autoSpaceDN w:val="0"/>
              <w:spacing w:after="0" w:line="360" w:lineRule="auto"/>
              <w:ind w:left="300" w:right="160" w:hanging="270"/>
              <w:jc w:val="both"/>
              <w:rPr>
                <w:rFonts w:ascii="Arial" w:hAnsi="Arial" w:eastAsia="Cambria" w:cs="Arial"/>
                <w:color w:val="000000"/>
                <w:sz w:val="18"/>
                <w:szCs w:val="18"/>
              </w:rPr>
            </w:pPr>
          </w:p>
        </w:tc>
        <w:tc>
          <w:tcPr>
            <w:tcW w:w="3309" w:type="dxa"/>
            <w:tcBorders>
              <w:top w:val="single" w:color="000000" w:sz="6" w:space="0"/>
              <w:left w:val="single" w:color="000000" w:sz="6" w:space="0"/>
              <w:bottom w:val="single" w:color="000000" w:sz="6" w:space="0"/>
              <w:right w:val="single" w:color="000000" w:sz="6" w:space="0"/>
            </w:tcBorders>
            <w:shd w:val="clear" w:color="auto" w:fill="auto"/>
          </w:tcPr>
          <w:p>
            <w:pPr>
              <w:widowControl w:val="0"/>
              <w:autoSpaceDE w:val="0"/>
              <w:autoSpaceDN w:val="0"/>
              <w:spacing w:after="0" w:line="360" w:lineRule="auto"/>
              <w:ind w:left="100" w:right="140"/>
              <w:jc w:val="both"/>
              <w:rPr>
                <w:rFonts w:ascii="Arial" w:hAnsi="Arial" w:eastAsia="Cambria" w:cs="Arial"/>
                <w:color w:val="000000"/>
                <w:sz w:val="18"/>
                <w:szCs w:val="18"/>
              </w:rPr>
            </w:pPr>
            <w:r>
              <w:rPr>
                <w:rFonts w:ascii="Arial" w:hAnsi="Arial" w:eastAsia="Cambria" w:cs="Arial"/>
                <w:color w:val="000000"/>
                <w:sz w:val="18"/>
                <w:szCs w:val="18"/>
              </w:rPr>
              <w:t>Mengoptimalkan  pengelolaan Data Penyelenggaraan Pelimpahan Kewenangan Pemerlu Pelayanan Kesejahteraan Sosial  dan Kebencanaan  Kecamatan. Dan Meningkatkan pelaksanaan  Penyelenggaraan Pelimpahan Kewenangan Pemerlu Pelayanan Kesejahteraan Sosial  dan Kebencanaan  Kecamatan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3" w:hRule="atLeast"/>
          <w:jc w:val="center"/>
        </w:trPr>
        <w:tc>
          <w:tcPr>
            <w:tcW w:w="1624" w:type="dxa"/>
            <w:vMerge w:val="continue"/>
            <w:tcBorders>
              <w:top w:val="single" w:color="000000" w:sz="6" w:space="0"/>
              <w:left w:val="single" w:color="000000" w:sz="6" w:space="0"/>
              <w:bottom w:val="single" w:color="000000" w:sz="6" w:space="0"/>
              <w:right w:val="single" w:color="000000" w:sz="6" w:space="0"/>
            </w:tcBorders>
            <w:shd w:val="clear" w:color="auto" w:fill="auto"/>
          </w:tcPr>
          <w:p>
            <w:pPr>
              <w:rPr>
                <w:rFonts w:ascii="Arial" w:hAnsi="Arial" w:cs="Arial"/>
                <w:sz w:val="18"/>
                <w:szCs w:val="18"/>
              </w:rPr>
            </w:pPr>
          </w:p>
        </w:tc>
        <w:tc>
          <w:tcPr>
            <w:tcW w:w="1766" w:type="dxa"/>
            <w:vMerge w:val="continue"/>
            <w:tcBorders>
              <w:top w:val="single" w:color="000000" w:sz="6" w:space="0"/>
              <w:left w:val="single" w:color="000000" w:sz="6" w:space="0"/>
              <w:bottom w:val="single" w:color="000000" w:sz="6" w:space="0"/>
              <w:right w:val="single" w:color="000000" w:sz="6" w:space="0"/>
            </w:tcBorders>
            <w:shd w:val="clear" w:color="auto" w:fill="auto"/>
          </w:tcPr>
          <w:p>
            <w:pPr>
              <w:rPr>
                <w:rFonts w:ascii="Arial" w:hAnsi="Arial" w:cs="Arial"/>
                <w:sz w:val="18"/>
                <w:szCs w:val="18"/>
              </w:rPr>
            </w:pPr>
          </w:p>
        </w:tc>
        <w:tc>
          <w:tcPr>
            <w:tcW w:w="2625" w:type="dxa"/>
            <w:tcBorders>
              <w:top w:val="single" w:color="000000" w:sz="6" w:space="0"/>
              <w:left w:val="single" w:color="000000" w:sz="6" w:space="0"/>
              <w:bottom w:val="single" w:color="000000" w:sz="6" w:space="0"/>
              <w:right w:val="single" w:color="000000" w:sz="6" w:space="0"/>
            </w:tcBorders>
            <w:shd w:val="clear" w:color="auto" w:fill="auto"/>
          </w:tcPr>
          <w:p>
            <w:pPr>
              <w:widowControl w:val="0"/>
              <w:numPr>
                <w:ilvl w:val="0"/>
                <w:numId w:val="10"/>
              </w:numPr>
              <w:autoSpaceDE w:val="0"/>
              <w:autoSpaceDN w:val="0"/>
              <w:spacing w:after="0" w:line="360" w:lineRule="auto"/>
              <w:ind w:left="300" w:right="160" w:hanging="270"/>
              <w:jc w:val="both"/>
              <w:rPr>
                <w:rFonts w:ascii="Arial" w:hAnsi="Arial" w:eastAsia="Cambria" w:cs="Arial"/>
                <w:color w:val="000000"/>
                <w:sz w:val="18"/>
                <w:szCs w:val="18"/>
              </w:rPr>
            </w:pPr>
            <w:r>
              <w:rPr>
                <w:rFonts w:ascii="Arial" w:hAnsi="Arial" w:eastAsia="Cambria" w:cs="Arial"/>
                <w:color w:val="000000"/>
                <w:sz w:val="18"/>
                <w:szCs w:val="18"/>
              </w:rPr>
              <w:t>Pengoptimalan Koordinasi dan Fasilitasi Kegiatan Pemberdayaan Masyarakat di Kecamatan</w:t>
            </w:r>
          </w:p>
        </w:tc>
        <w:tc>
          <w:tcPr>
            <w:tcW w:w="3309" w:type="dxa"/>
            <w:tcBorders>
              <w:top w:val="single" w:color="000000" w:sz="6" w:space="0"/>
              <w:left w:val="single" w:color="000000" w:sz="6" w:space="0"/>
              <w:bottom w:val="single" w:color="000000" w:sz="6" w:space="0"/>
              <w:right w:val="single" w:color="000000" w:sz="6" w:space="0"/>
            </w:tcBorders>
            <w:shd w:val="clear" w:color="auto" w:fill="auto"/>
          </w:tcPr>
          <w:p>
            <w:pPr>
              <w:widowControl w:val="0"/>
              <w:autoSpaceDE w:val="0"/>
              <w:autoSpaceDN w:val="0"/>
              <w:spacing w:after="0" w:line="360" w:lineRule="auto"/>
              <w:ind w:left="100" w:right="140"/>
              <w:jc w:val="both"/>
              <w:rPr>
                <w:rFonts w:ascii="Arial" w:hAnsi="Arial" w:eastAsia="Cambria" w:cs="Arial"/>
                <w:color w:val="000000"/>
                <w:sz w:val="18"/>
                <w:szCs w:val="18"/>
              </w:rPr>
            </w:pPr>
            <w:r>
              <w:rPr>
                <w:rFonts w:ascii="Arial" w:hAnsi="Arial" w:eastAsia="Cambria" w:cs="Arial"/>
                <w:color w:val="000000"/>
                <w:sz w:val="18"/>
                <w:szCs w:val="18"/>
              </w:rPr>
              <w:t>Mengoptimalkan  pengelolaan data kegiatan pemberdayaan masyarakat di Kecamatan dan meningkatkan pelaksanaan kegiatan pemberdayaan masyarakat di  Kecamatan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5" w:hRule="atLeast"/>
          <w:jc w:val="center"/>
        </w:trPr>
        <w:tc>
          <w:tcPr>
            <w:tcW w:w="1624" w:type="dxa"/>
            <w:vMerge w:val="continue"/>
            <w:tcBorders>
              <w:top w:val="single" w:color="000000" w:sz="6" w:space="0"/>
              <w:left w:val="single" w:color="000000" w:sz="6" w:space="0"/>
              <w:bottom w:val="single" w:color="000000" w:sz="6" w:space="0"/>
              <w:right w:val="single" w:color="000000" w:sz="6" w:space="0"/>
            </w:tcBorders>
            <w:shd w:val="clear" w:color="auto" w:fill="auto"/>
          </w:tcPr>
          <w:p>
            <w:pPr>
              <w:rPr>
                <w:rFonts w:ascii="Arial" w:hAnsi="Arial" w:cs="Arial"/>
                <w:sz w:val="18"/>
                <w:szCs w:val="18"/>
              </w:rPr>
            </w:pPr>
          </w:p>
        </w:tc>
        <w:tc>
          <w:tcPr>
            <w:tcW w:w="1766" w:type="dxa"/>
            <w:vMerge w:val="continue"/>
            <w:tcBorders>
              <w:top w:val="single" w:color="000000" w:sz="6" w:space="0"/>
              <w:left w:val="single" w:color="000000" w:sz="6" w:space="0"/>
              <w:bottom w:val="single" w:color="000000" w:sz="6" w:space="0"/>
              <w:right w:val="single" w:color="000000" w:sz="6" w:space="0"/>
            </w:tcBorders>
            <w:shd w:val="clear" w:color="auto" w:fill="auto"/>
          </w:tcPr>
          <w:p>
            <w:pPr>
              <w:rPr>
                <w:rFonts w:ascii="Arial" w:hAnsi="Arial" w:cs="Arial"/>
                <w:sz w:val="18"/>
                <w:szCs w:val="18"/>
              </w:rPr>
            </w:pPr>
          </w:p>
        </w:tc>
        <w:tc>
          <w:tcPr>
            <w:tcW w:w="2625" w:type="dxa"/>
            <w:tcBorders>
              <w:top w:val="single" w:color="000000" w:sz="6" w:space="0"/>
              <w:left w:val="single" w:color="000000" w:sz="6" w:space="0"/>
              <w:bottom w:val="single" w:color="000000" w:sz="6" w:space="0"/>
              <w:right w:val="single" w:color="000000" w:sz="6" w:space="0"/>
            </w:tcBorders>
            <w:shd w:val="clear" w:color="auto" w:fill="auto"/>
          </w:tcPr>
          <w:p>
            <w:pPr>
              <w:widowControl w:val="0"/>
              <w:numPr>
                <w:ilvl w:val="0"/>
                <w:numId w:val="10"/>
              </w:numPr>
              <w:autoSpaceDE w:val="0"/>
              <w:autoSpaceDN w:val="0"/>
              <w:spacing w:after="0" w:line="360" w:lineRule="auto"/>
              <w:ind w:left="300" w:right="160" w:hanging="270"/>
              <w:jc w:val="both"/>
              <w:rPr>
                <w:rFonts w:ascii="Arial" w:hAnsi="Arial" w:eastAsia="Cambria" w:cs="Arial"/>
                <w:color w:val="000000"/>
                <w:sz w:val="18"/>
                <w:szCs w:val="18"/>
              </w:rPr>
            </w:pPr>
            <w:r>
              <w:rPr>
                <w:rFonts w:ascii="Arial" w:hAnsi="Arial" w:eastAsia="Cambria" w:cs="Arial"/>
                <w:color w:val="000000"/>
                <w:sz w:val="18"/>
                <w:szCs w:val="18"/>
              </w:rPr>
              <w:t>Pengoptimalan Kegiatan Urusan Penunjang Perangkat Daerah</w:t>
            </w:r>
          </w:p>
        </w:tc>
        <w:tc>
          <w:tcPr>
            <w:tcW w:w="3309" w:type="dxa"/>
            <w:tcBorders>
              <w:top w:val="single" w:color="000000" w:sz="6" w:space="0"/>
              <w:left w:val="single" w:color="000000" w:sz="6" w:space="0"/>
              <w:bottom w:val="single" w:color="000000" w:sz="6" w:space="0"/>
              <w:right w:val="single" w:color="000000" w:sz="6" w:space="0"/>
            </w:tcBorders>
            <w:shd w:val="clear" w:color="auto" w:fill="auto"/>
          </w:tcPr>
          <w:p>
            <w:pPr>
              <w:widowControl w:val="0"/>
              <w:autoSpaceDE w:val="0"/>
              <w:autoSpaceDN w:val="0"/>
              <w:spacing w:after="0" w:line="360" w:lineRule="auto"/>
              <w:ind w:left="100" w:right="140"/>
              <w:jc w:val="both"/>
              <w:rPr>
                <w:rFonts w:ascii="Arial" w:hAnsi="Arial" w:eastAsia="Cambria" w:cs="Arial"/>
                <w:color w:val="000000"/>
                <w:sz w:val="18"/>
                <w:szCs w:val="18"/>
              </w:rPr>
            </w:pPr>
            <w:r>
              <w:rPr>
                <w:rFonts w:ascii="Arial" w:hAnsi="Arial" w:eastAsia="Cambria" w:cs="Arial"/>
                <w:color w:val="000000"/>
                <w:sz w:val="18"/>
                <w:szCs w:val="18"/>
              </w:rPr>
              <w:t>Meningkatkan pelayanan kesekretariatan Kecamatan.</w:t>
            </w:r>
          </w:p>
        </w:tc>
      </w:tr>
      <w:bookmarkEnd w:id="0"/>
    </w:tbl>
    <w:p>
      <w:pPr>
        <w:rPr>
          <w:rFonts w:ascii="Arial" w:hAnsi="Arial" w:cs="Arial"/>
          <w:bCs/>
          <w:color w:val="000000"/>
          <w:sz w:val="20"/>
          <w:szCs w:val="20"/>
        </w:rPr>
      </w:pPr>
    </w:p>
    <w:p>
      <w:pPr>
        <w:pStyle w:val="15"/>
        <w:tabs>
          <w:tab w:val="left" w:pos="567"/>
        </w:tabs>
        <w:ind w:left="0"/>
        <w:rPr>
          <w:rFonts w:ascii="Bookman Old Style" w:hAnsi="Bookman Old Style" w:cs="Arial"/>
          <w:sz w:val="24"/>
          <w:szCs w:val="24"/>
        </w:rPr>
      </w:pPr>
    </w:p>
    <w:p>
      <w:pPr>
        <w:pStyle w:val="15"/>
        <w:numPr>
          <w:ilvl w:val="3"/>
          <w:numId w:val="11"/>
        </w:numPr>
        <w:spacing w:after="0" w:line="360" w:lineRule="auto"/>
        <w:ind w:left="851" w:hanging="284"/>
        <w:rPr>
          <w:rFonts w:ascii="Arial" w:hAnsi="Arial" w:cs="Arial"/>
          <w:sz w:val="24"/>
          <w:szCs w:val="24"/>
        </w:rPr>
      </w:pPr>
      <w:r>
        <w:rPr>
          <w:rFonts w:ascii="Arial" w:hAnsi="Arial" w:cs="Arial"/>
          <w:sz w:val="24"/>
          <w:szCs w:val="24"/>
        </w:rPr>
        <w:t>Program dan Kegiatan</w:t>
      </w:r>
    </w:p>
    <w:p>
      <w:pPr>
        <w:widowControl w:val="0"/>
        <w:autoSpaceDE w:val="0"/>
        <w:autoSpaceDN w:val="0"/>
        <w:adjustRightInd w:val="0"/>
        <w:spacing w:after="0" w:line="360" w:lineRule="auto"/>
        <w:ind w:left="1080" w:right="61" w:hanging="229"/>
        <w:jc w:val="both"/>
        <w:rPr>
          <w:rFonts w:ascii="Arial" w:hAnsi="Arial" w:cs="Arial"/>
          <w:sz w:val="24"/>
          <w:szCs w:val="24"/>
        </w:rPr>
      </w:pPr>
      <w:r>
        <w:rPr>
          <w:rFonts w:ascii="Arial" w:hAnsi="Arial" w:cs="Arial"/>
          <w:sz w:val="24"/>
          <w:szCs w:val="24"/>
        </w:rPr>
        <w:t>a. Program</w:t>
      </w:r>
    </w:p>
    <w:p>
      <w:pPr>
        <w:widowControl w:val="0"/>
        <w:autoSpaceDE w:val="0"/>
        <w:autoSpaceDN w:val="0"/>
        <w:adjustRightInd w:val="0"/>
        <w:spacing w:after="0" w:line="360" w:lineRule="auto"/>
        <w:ind w:left="1134" w:right="61"/>
        <w:jc w:val="both"/>
        <w:rPr>
          <w:rFonts w:ascii="Arial" w:hAnsi="Arial" w:cs="Arial"/>
          <w:sz w:val="24"/>
          <w:szCs w:val="24"/>
        </w:rPr>
      </w:pPr>
      <w:r>
        <w:rPr>
          <w:rFonts w:ascii="Arial" w:hAnsi="Arial" w:cs="Arial"/>
          <w:sz w:val="24"/>
          <w:szCs w:val="24"/>
        </w:rPr>
        <w:t xml:space="preserve">Pada tahun 2023, Kecamatan Astambul Banjar melaksanakan program utama, yaitu </w:t>
      </w:r>
      <w:r>
        <w:rPr>
          <w:rFonts w:ascii="Arial" w:hAnsi="Arial" w:cs="Arial"/>
          <w:bCs/>
          <w:color w:val="000000" w:themeColor="text1"/>
          <w:sz w:val="24"/>
          <w:szCs w:val="24"/>
          <w:lang w:val="en-GB"/>
          <w14:textFill>
            <w14:solidFill>
              <w14:schemeClr w14:val="tx1"/>
            </w14:solidFill>
          </w14:textFill>
        </w:rPr>
        <w:t>Program Penunjang Penyelenggaraan Pemerintah dan Pembangunan</w:t>
      </w:r>
    </w:p>
    <w:p>
      <w:pPr>
        <w:widowControl w:val="0"/>
        <w:autoSpaceDE w:val="0"/>
        <w:autoSpaceDN w:val="0"/>
        <w:adjustRightInd w:val="0"/>
        <w:spacing w:after="0" w:line="360" w:lineRule="auto"/>
        <w:ind w:left="1134" w:right="61" w:hanging="283"/>
        <w:jc w:val="both"/>
        <w:rPr>
          <w:rFonts w:ascii="Arial" w:hAnsi="Arial" w:cs="Arial"/>
          <w:sz w:val="24"/>
          <w:szCs w:val="24"/>
        </w:rPr>
      </w:pPr>
      <w:r>
        <w:rPr>
          <w:rFonts w:ascii="Arial" w:hAnsi="Arial" w:cs="Arial"/>
          <w:sz w:val="24"/>
          <w:szCs w:val="24"/>
        </w:rPr>
        <w:t>b.  Kegiatan</w:t>
      </w:r>
    </w:p>
    <w:p>
      <w:pPr>
        <w:widowControl w:val="0"/>
        <w:autoSpaceDE w:val="0"/>
        <w:autoSpaceDN w:val="0"/>
        <w:adjustRightInd w:val="0"/>
        <w:spacing w:after="0" w:line="360" w:lineRule="auto"/>
        <w:ind w:left="1134" w:right="61"/>
        <w:jc w:val="both"/>
        <w:rPr>
          <w:rFonts w:ascii="Arial" w:hAnsi="Arial" w:cs="Arial"/>
          <w:sz w:val="24"/>
          <w:szCs w:val="24"/>
          <w:lang w:val="en-US"/>
        </w:rPr>
      </w:pPr>
      <w:r>
        <w:rPr>
          <w:rFonts w:ascii="Arial" w:hAnsi="Arial" w:cs="Arial"/>
          <w:sz w:val="24"/>
          <w:szCs w:val="24"/>
        </w:rPr>
        <w:t>Sedangkan kegiatan yang dilaksanakan terdiri dari kegiatan utama, yaitu :</w:t>
      </w:r>
    </w:p>
    <w:p>
      <w:pPr>
        <w:pStyle w:val="15"/>
        <w:widowControl w:val="0"/>
        <w:numPr>
          <w:ilvl w:val="0"/>
          <w:numId w:val="12"/>
        </w:numPr>
        <w:autoSpaceDE w:val="0"/>
        <w:autoSpaceDN w:val="0"/>
        <w:adjustRightInd w:val="0"/>
        <w:spacing w:after="0" w:line="360" w:lineRule="auto"/>
        <w:ind w:right="61"/>
        <w:jc w:val="both"/>
        <w:rPr>
          <w:rFonts w:ascii="Arial" w:hAnsi="Arial" w:cs="Arial"/>
          <w:color w:val="000000"/>
          <w:lang w:val="en-US"/>
        </w:rPr>
      </w:pPr>
      <w:r>
        <w:rPr>
          <w:rFonts w:ascii="Arial" w:hAnsi="Arial" w:cs="Arial"/>
          <w:color w:val="000000"/>
        </w:rPr>
        <w:t>Penyelenggaraan Kesekretariatan Kecamatan</w:t>
      </w:r>
    </w:p>
    <w:p>
      <w:pPr>
        <w:pStyle w:val="15"/>
        <w:widowControl w:val="0"/>
        <w:numPr>
          <w:ilvl w:val="0"/>
          <w:numId w:val="12"/>
        </w:numPr>
        <w:autoSpaceDE w:val="0"/>
        <w:autoSpaceDN w:val="0"/>
        <w:adjustRightInd w:val="0"/>
        <w:spacing w:after="0" w:line="360" w:lineRule="auto"/>
        <w:ind w:right="61"/>
        <w:jc w:val="both"/>
        <w:rPr>
          <w:rFonts w:ascii="Arial" w:hAnsi="Arial" w:cs="Arial"/>
          <w:sz w:val="24"/>
          <w:szCs w:val="24"/>
          <w:lang w:val="en-US"/>
        </w:rPr>
      </w:pPr>
      <w:r>
        <w:rPr>
          <w:rFonts w:ascii="Arial" w:hAnsi="Arial" w:cs="Arial"/>
          <w:color w:val="000000"/>
        </w:rPr>
        <w:t>Penyelenggaraan Pemerintahan Kecamatan</w:t>
      </w:r>
    </w:p>
    <w:p>
      <w:pPr>
        <w:pStyle w:val="15"/>
        <w:widowControl w:val="0"/>
        <w:numPr>
          <w:ilvl w:val="0"/>
          <w:numId w:val="12"/>
        </w:numPr>
        <w:autoSpaceDE w:val="0"/>
        <w:autoSpaceDN w:val="0"/>
        <w:adjustRightInd w:val="0"/>
        <w:spacing w:after="0" w:line="360" w:lineRule="auto"/>
        <w:ind w:right="61"/>
        <w:jc w:val="both"/>
        <w:rPr>
          <w:rFonts w:ascii="Arial" w:hAnsi="Arial" w:cs="Arial"/>
          <w:sz w:val="24"/>
          <w:szCs w:val="24"/>
          <w:lang w:val="en-US"/>
        </w:rPr>
      </w:pPr>
      <w:r>
        <w:rPr>
          <w:rFonts w:ascii="Arial" w:hAnsi="Arial" w:cs="Arial"/>
          <w:color w:val="000000"/>
        </w:rPr>
        <w:t>Penyelenggaraan  pemberdayaan Masyarakat</w:t>
      </w:r>
    </w:p>
    <w:p>
      <w:pPr>
        <w:pStyle w:val="15"/>
        <w:widowControl w:val="0"/>
        <w:numPr>
          <w:ilvl w:val="0"/>
          <w:numId w:val="12"/>
        </w:numPr>
        <w:autoSpaceDE w:val="0"/>
        <w:autoSpaceDN w:val="0"/>
        <w:adjustRightInd w:val="0"/>
        <w:spacing w:after="0" w:line="360" w:lineRule="auto"/>
        <w:ind w:right="61"/>
        <w:jc w:val="both"/>
        <w:rPr>
          <w:rFonts w:ascii="Arial" w:hAnsi="Arial" w:cs="Arial"/>
          <w:sz w:val="24"/>
          <w:szCs w:val="24"/>
          <w:lang w:val="en-US"/>
        </w:rPr>
      </w:pPr>
      <w:r>
        <w:rPr>
          <w:rFonts w:ascii="Arial" w:hAnsi="Arial" w:cs="Arial"/>
          <w:color w:val="000000"/>
        </w:rPr>
        <w:t>Penyelenggaraan Ketentraman dan Ketertiban</w:t>
      </w:r>
    </w:p>
    <w:p>
      <w:pPr>
        <w:pStyle w:val="15"/>
        <w:widowControl w:val="0"/>
        <w:numPr>
          <w:ilvl w:val="0"/>
          <w:numId w:val="12"/>
        </w:numPr>
        <w:autoSpaceDE w:val="0"/>
        <w:autoSpaceDN w:val="0"/>
        <w:adjustRightInd w:val="0"/>
        <w:spacing w:after="0" w:line="360" w:lineRule="auto"/>
        <w:ind w:right="61"/>
        <w:jc w:val="both"/>
        <w:rPr>
          <w:rFonts w:ascii="Arial" w:hAnsi="Arial" w:cs="Arial"/>
          <w:sz w:val="24"/>
          <w:szCs w:val="24"/>
          <w:lang w:val="en-US"/>
        </w:rPr>
      </w:pPr>
      <w:r>
        <w:rPr>
          <w:rFonts w:ascii="Arial" w:hAnsi="Arial" w:cs="Arial"/>
          <w:color w:val="000000"/>
        </w:rPr>
        <w:t>Penyelenggaraan Kesejahteraan Sosial</w:t>
      </w:r>
    </w:p>
    <w:p>
      <w:pPr>
        <w:pStyle w:val="15"/>
        <w:spacing w:after="0" w:line="240" w:lineRule="auto"/>
        <w:ind w:left="851"/>
        <w:rPr>
          <w:rFonts w:ascii="Arial" w:hAnsi="Arial" w:cs="Arial"/>
          <w:sz w:val="24"/>
          <w:szCs w:val="24"/>
        </w:rPr>
      </w:pPr>
    </w:p>
    <w:p>
      <w:pPr>
        <w:pStyle w:val="15"/>
        <w:spacing w:after="0" w:line="240" w:lineRule="auto"/>
        <w:ind w:left="851"/>
        <w:rPr>
          <w:rFonts w:ascii="Arial" w:hAnsi="Arial" w:cs="Arial"/>
          <w:sz w:val="24"/>
          <w:szCs w:val="24"/>
        </w:rPr>
      </w:pPr>
    </w:p>
    <w:p>
      <w:pPr>
        <w:spacing w:after="0" w:line="360" w:lineRule="auto"/>
        <w:ind w:left="567" w:hanging="567"/>
        <w:rPr>
          <w:rFonts w:ascii="Arial" w:hAnsi="Arial" w:cs="Arial"/>
          <w:b/>
          <w:sz w:val="24"/>
          <w:szCs w:val="24"/>
        </w:rPr>
      </w:pPr>
      <w:r>
        <w:rPr>
          <w:rFonts w:ascii="Arial" w:hAnsi="Arial" w:cs="Arial"/>
          <w:b/>
          <w:sz w:val="24"/>
          <w:szCs w:val="24"/>
        </w:rPr>
        <w:t>2.2</w:t>
      </w:r>
      <w:r>
        <w:rPr>
          <w:rFonts w:ascii="Arial" w:hAnsi="Arial" w:cs="Arial"/>
          <w:b/>
          <w:sz w:val="24"/>
          <w:szCs w:val="24"/>
        </w:rPr>
        <w:tab/>
      </w:r>
      <w:r>
        <w:rPr>
          <w:rFonts w:ascii="Arial" w:hAnsi="Arial" w:cs="Arial"/>
          <w:b/>
          <w:sz w:val="24"/>
          <w:szCs w:val="24"/>
        </w:rPr>
        <w:t>Indikator Kinerja Utama</w:t>
      </w:r>
    </w:p>
    <w:p>
      <w:pPr>
        <w:ind w:left="540"/>
        <w:rPr>
          <w:sz w:val="24"/>
          <w:szCs w:val="24"/>
          <w:lang w:val="en-US"/>
        </w:rPr>
      </w:pPr>
      <w:r>
        <w:rPr>
          <w:rFonts w:ascii="Arial" w:hAnsi="Arial" w:cs="Arial"/>
          <w:color w:val="000000"/>
          <w:sz w:val="24"/>
          <w:szCs w:val="24"/>
          <w:lang w:val="en-GB"/>
        </w:rPr>
        <w:t xml:space="preserve">Untuk menganalisis kinerja pelayanan Kecamatan Astambul menggunakan Indicator Kinerja Utama, yaitu </w:t>
      </w:r>
      <w:r>
        <w:rPr>
          <w:rFonts w:ascii="Arial" w:hAnsi="Arial" w:cs="Arial"/>
          <w:color w:val="000000"/>
          <w:sz w:val="24"/>
          <w:szCs w:val="24"/>
        </w:rPr>
        <w:t>Nilai Evaluasi Kecamatan</w:t>
      </w:r>
      <w:r>
        <w:rPr>
          <w:rFonts w:ascii="Trebuchet MS" w:hAnsi="Trebuchet MS" w:cs="Calibri"/>
          <w:color w:val="000000"/>
          <w:sz w:val="16"/>
          <w:szCs w:val="16"/>
        </w:rPr>
        <w:t>.</w:t>
      </w:r>
    </w:p>
    <w:p>
      <w:pPr>
        <w:pStyle w:val="6"/>
        <w:spacing w:before="127"/>
        <w:ind w:left="567" w:firstLine="567"/>
        <w:jc w:val="both"/>
        <w:rPr>
          <w:rFonts w:ascii="Arial" w:hAnsi="Arial" w:cs="Arial"/>
          <w:sz w:val="24"/>
          <w:szCs w:val="24"/>
          <w:lang w:val="en-US"/>
        </w:rPr>
      </w:pPr>
      <w:r>
        <w:rPr>
          <w:rFonts w:ascii="Arial" w:hAnsi="Arial" w:cs="Arial"/>
          <w:sz w:val="24"/>
          <w:szCs w:val="24"/>
        </w:rPr>
        <w:t>Indikator kinerja merupakan alat atau sarana yang digunakan untuk mengukur tingkat keberhasilan suatu instansi dalam mencapai tujuan dan sasarannya. Biasanya, indikator kinerja akan memberikan rambu atau sinyal mengenai apakah kegiatan atau sasaran yang diukurnya telah berhasil dilaksanakan atau dicapai sesuai dengan yang direncanakan. Indikator kinerja yang baik akan menghasilkan informasi kinerja yang memberikan indikasi yang lebih baik dan lebih menggambarkan mengenai kinerja organisasi. Selanjutnya apabila didukung dengan suatu sistem pengumpulan dan pengolah data kinerja yang memadai maka kondisi ini akan dapat membimbing dan mengarahkan organisasi pada hasil pengukuran yang handal (</w:t>
      </w:r>
      <w:r>
        <w:rPr>
          <w:rFonts w:ascii="Arial" w:hAnsi="Arial" w:cs="Arial"/>
          <w:i/>
          <w:iCs/>
          <w:sz w:val="24"/>
          <w:szCs w:val="24"/>
        </w:rPr>
        <w:t>reliable</w:t>
      </w:r>
      <w:r>
        <w:rPr>
          <w:rFonts w:ascii="Arial" w:hAnsi="Arial" w:cs="Arial"/>
          <w:sz w:val="24"/>
          <w:szCs w:val="24"/>
        </w:rPr>
        <w:t>) mengenai hasil apa saja yang telah diperoleh selama periode aktivitasnya.</w:t>
      </w:r>
    </w:p>
    <w:p>
      <w:pPr>
        <w:pStyle w:val="6"/>
        <w:spacing w:before="9"/>
        <w:ind w:left="567" w:firstLine="567"/>
        <w:jc w:val="both"/>
        <w:rPr>
          <w:rFonts w:ascii="Arial" w:hAnsi="Arial" w:cs="Arial"/>
          <w:sz w:val="24"/>
          <w:szCs w:val="24"/>
        </w:rPr>
      </w:pPr>
      <w:r>
        <w:rPr>
          <w:rFonts w:ascii="Arial" w:hAnsi="Arial" w:cs="Arial"/>
          <w:sz w:val="24"/>
          <w:szCs w:val="24"/>
        </w:rPr>
        <w:t>Selanjutnya indikator kinerja tidak hanya digunakan pada saat menyusun laporan pertangungjawaban. Indikator kinerja juga merupakan komponen yang sangat krusial pada saat merencanakan kinerja. Berbagai peraturan perundang- undangan sudah mewajibkan instansi pemerintah untuk menentukan indikator kinerja pada saat membuat perencanaan. Dengan adanya indikator kinerja, perencanaan sudah mempersiapkan alat ukur yang akan digunakan untuk menentukan apakah rencana yang ditetapkan telah dapat dicapai. Penetapan indikator kinerja pada saat merencanakan kinerja akan lebih meningkatkan kualitas perencanaan dengan menghindari penetapan-penetapan sasaran yang sulit untuk diukur dan dibuktikan secara objektif keberhasilannya.</w:t>
      </w:r>
    </w:p>
    <w:p>
      <w:pPr>
        <w:pStyle w:val="6"/>
        <w:ind w:left="567" w:firstLine="567"/>
        <w:jc w:val="both"/>
        <w:rPr>
          <w:rFonts w:ascii="Arial" w:hAnsi="Arial" w:cs="Arial"/>
          <w:sz w:val="24"/>
          <w:szCs w:val="24"/>
        </w:rPr>
      </w:pPr>
      <w:r>
        <w:rPr>
          <w:rFonts w:ascii="Arial" w:hAnsi="Arial" w:cs="Arial"/>
          <w:sz w:val="24"/>
          <w:szCs w:val="24"/>
        </w:rPr>
        <w:t>Kecamatan Astambul mengampu Urusan Pemerintahan Fungsi Penunjang Administrasi Pemerintahan</w:t>
      </w:r>
      <w:r>
        <w:rPr>
          <w:rFonts w:ascii="Arial" w:hAnsi="Arial" w:cs="Arial"/>
          <w:i/>
          <w:sz w:val="24"/>
          <w:szCs w:val="24"/>
        </w:rPr>
        <w:t>.</w:t>
      </w:r>
      <w:r>
        <w:rPr>
          <w:rFonts w:ascii="Arial" w:hAnsi="Arial" w:cs="Arial"/>
          <w:sz w:val="24"/>
          <w:szCs w:val="24"/>
        </w:rPr>
        <w:t xml:space="preserve"> Berdasar urusan dan program yang diampu, Kecamatan Astambul mendukung pencapaian  misi Ke 4  Kabupaten Banjar  yang tercantum pada RPJMD yaitu :</w:t>
      </w:r>
    </w:p>
    <w:p>
      <w:pPr>
        <w:ind w:left="630"/>
        <w:jc w:val="both"/>
        <w:rPr>
          <w:rFonts w:ascii="Arial" w:hAnsi="Arial" w:cs="Arial"/>
          <w:sz w:val="24"/>
          <w:szCs w:val="24"/>
        </w:rPr>
      </w:pPr>
      <w:r>
        <w:rPr>
          <w:rFonts w:ascii="Arial" w:hAnsi="Arial" w:cs="Arial"/>
          <w:sz w:val="24"/>
          <w:szCs w:val="24"/>
        </w:rPr>
        <w:t xml:space="preserve">Misi Ke 4 : </w:t>
      </w:r>
      <w:r>
        <w:rPr>
          <w:rFonts w:ascii="Arial" w:hAnsi="Arial" w:cs="Arial"/>
          <w:b/>
          <w:bCs/>
          <w:sz w:val="24"/>
          <w:szCs w:val="24"/>
        </w:rPr>
        <w:t>Penyelenggaraan Kepemerintahan Yang Amanah, Baik, Bersih dan Efektif.</w:t>
      </w:r>
      <w:r>
        <w:rPr>
          <w:rFonts w:ascii="Arial" w:hAnsi="Arial" w:cs="Arial"/>
          <w:sz w:val="24"/>
          <w:szCs w:val="24"/>
        </w:rPr>
        <w:t>”</w:t>
      </w:r>
    </w:p>
    <w:p>
      <w:pPr>
        <w:pStyle w:val="6"/>
        <w:ind w:left="567" w:firstLine="567"/>
        <w:jc w:val="both"/>
        <w:rPr>
          <w:rFonts w:ascii="Arial" w:hAnsi="Arial" w:cs="Arial"/>
          <w:sz w:val="24"/>
          <w:szCs w:val="24"/>
        </w:rPr>
      </w:pPr>
      <w:r>
        <w:rPr>
          <w:rFonts w:ascii="Arial" w:hAnsi="Arial" w:cs="Arial"/>
          <w:sz w:val="24"/>
          <w:szCs w:val="24"/>
        </w:rPr>
        <w:t xml:space="preserve">Pengukuran pencapaian misi dapat dilihat melalui pencapaian tujuan dan sasaran yang telah dilengkapi dengan indikator-indikator kinerja sasaran. </w:t>
      </w:r>
    </w:p>
    <w:p>
      <w:pPr>
        <w:spacing w:after="0" w:line="240" w:lineRule="auto"/>
        <w:jc w:val="center"/>
        <w:rPr>
          <w:rFonts w:ascii="Arial" w:hAnsi="Arial" w:cs="Arial"/>
          <w:sz w:val="24"/>
          <w:szCs w:val="24"/>
        </w:rPr>
      </w:pPr>
      <w:r>
        <w:rPr>
          <w:rFonts w:ascii="Arial" w:hAnsi="Arial" w:cs="Arial"/>
          <w:sz w:val="24"/>
          <w:szCs w:val="24"/>
        </w:rPr>
        <w:t>Tabel 2.3</w:t>
      </w:r>
    </w:p>
    <w:p>
      <w:pPr>
        <w:spacing w:after="0" w:line="240" w:lineRule="auto"/>
        <w:jc w:val="center"/>
        <w:rPr>
          <w:rFonts w:ascii="Arial" w:hAnsi="Arial" w:cs="Arial"/>
          <w:sz w:val="24"/>
          <w:szCs w:val="24"/>
        </w:rPr>
      </w:pPr>
      <w:r>
        <w:rPr>
          <w:rFonts w:ascii="Arial" w:hAnsi="Arial" w:cs="Arial"/>
          <w:sz w:val="24"/>
          <w:szCs w:val="24"/>
        </w:rPr>
        <w:t>Indikator Kinerja Utama Kecamatan Astambul Kabupaten Banjar</w:t>
      </w:r>
    </w:p>
    <w:p>
      <w:pPr>
        <w:spacing w:after="0"/>
        <w:ind w:left="567" w:right="-1"/>
        <w:rPr>
          <w:rFonts w:ascii="Trebuchet MS" w:hAnsi="Trebuchet MS"/>
          <w:sz w:val="24"/>
          <w:szCs w:val="24"/>
          <w:lang w:val="en-US"/>
        </w:rPr>
      </w:pPr>
    </w:p>
    <w:tbl>
      <w:tblPr>
        <w:tblStyle w:val="4"/>
        <w:tblW w:w="9793" w:type="dxa"/>
        <w:tblInd w:w="18" w:type="dxa"/>
        <w:tblLayout w:type="autofit"/>
        <w:tblCellMar>
          <w:top w:w="0" w:type="dxa"/>
          <w:left w:w="108" w:type="dxa"/>
          <w:bottom w:w="0" w:type="dxa"/>
          <w:right w:w="108" w:type="dxa"/>
        </w:tblCellMar>
      </w:tblPr>
      <w:tblGrid>
        <w:gridCol w:w="440"/>
        <w:gridCol w:w="1553"/>
        <w:gridCol w:w="1396"/>
        <w:gridCol w:w="1890"/>
        <w:gridCol w:w="3001"/>
        <w:gridCol w:w="1291"/>
        <w:gridCol w:w="222"/>
      </w:tblGrid>
      <w:tr>
        <w:trPr>
          <w:gridAfter w:val="1"/>
          <w:wAfter w:w="222" w:type="dxa"/>
          <w:trHeight w:val="330" w:hRule="atLeast"/>
        </w:trPr>
        <w:tc>
          <w:tcPr>
            <w:tcW w:w="440" w:type="dxa"/>
            <w:vMerge w:val="restart"/>
            <w:tcBorders>
              <w:top w:val="single" w:color="auto" w:sz="8" w:space="0"/>
              <w:left w:val="single" w:color="auto" w:sz="8" w:space="0"/>
              <w:bottom w:val="single" w:color="000000" w:sz="8" w:space="0"/>
              <w:right w:val="single" w:color="auto" w:sz="8" w:space="0"/>
            </w:tcBorders>
            <w:shd w:val="clear" w:color="auto" w:fill="BFBFBF"/>
            <w:vAlign w:val="center"/>
          </w:tcPr>
          <w:p>
            <w:pPr>
              <w:spacing w:after="0"/>
              <w:jc w:val="center"/>
              <w:rPr>
                <w:rFonts w:ascii="Trebuchet MS" w:hAnsi="Trebuchet MS" w:cs="Calibri"/>
                <w:b/>
                <w:bCs/>
                <w:color w:val="000000"/>
                <w:sz w:val="16"/>
                <w:szCs w:val="16"/>
              </w:rPr>
            </w:pPr>
            <w:r>
              <w:rPr>
                <w:rFonts w:ascii="Trebuchet MS" w:hAnsi="Trebuchet MS" w:cs="Calibri"/>
                <w:b/>
                <w:bCs/>
                <w:color w:val="000000"/>
                <w:sz w:val="16"/>
                <w:szCs w:val="16"/>
              </w:rPr>
              <w:t>No</w:t>
            </w:r>
          </w:p>
        </w:tc>
        <w:tc>
          <w:tcPr>
            <w:tcW w:w="1553" w:type="dxa"/>
            <w:vMerge w:val="restart"/>
            <w:tcBorders>
              <w:top w:val="single" w:color="auto" w:sz="8" w:space="0"/>
              <w:left w:val="nil"/>
              <w:bottom w:val="single" w:color="000000" w:sz="8" w:space="0"/>
              <w:right w:val="single" w:color="auto" w:sz="8" w:space="0"/>
            </w:tcBorders>
            <w:shd w:val="clear" w:color="auto" w:fill="BFBFBF"/>
            <w:vAlign w:val="center"/>
          </w:tcPr>
          <w:p>
            <w:pPr>
              <w:spacing w:after="0"/>
              <w:jc w:val="center"/>
              <w:rPr>
                <w:rFonts w:ascii="Trebuchet MS" w:hAnsi="Trebuchet MS" w:cs="Calibri"/>
                <w:b/>
                <w:bCs/>
                <w:color w:val="000000"/>
                <w:sz w:val="16"/>
                <w:szCs w:val="16"/>
              </w:rPr>
            </w:pPr>
            <w:r>
              <w:rPr>
                <w:rFonts w:ascii="Trebuchet MS" w:hAnsi="Trebuchet MS" w:cs="Calibri"/>
                <w:b/>
                <w:bCs/>
                <w:color w:val="000000"/>
                <w:sz w:val="16"/>
                <w:szCs w:val="16"/>
              </w:rPr>
              <w:t>Sasaran Strategis</w:t>
            </w:r>
          </w:p>
        </w:tc>
        <w:tc>
          <w:tcPr>
            <w:tcW w:w="1396" w:type="dxa"/>
            <w:vMerge w:val="restart"/>
            <w:tcBorders>
              <w:top w:val="single" w:color="auto" w:sz="8" w:space="0"/>
              <w:left w:val="nil"/>
              <w:bottom w:val="single" w:color="000000" w:sz="8" w:space="0"/>
              <w:right w:val="single" w:color="auto" w:sz="8" w:space="0"/>
            </w:tcBorders>
            <w:shd w:val="clear" w:color="auto" w:fill="BFBFBF"/>
            <w:vAlign w:val="center"/>
          </w:tcPr>
          <w:p>
            <w:pPr>
              <w:spacing w:after="0"/>
              <w:jc w:val="center"/>
              <w:rPr>
                <w:rFonts w:ascii="Trebuchet MS" w:hAnsi="Trebuchet MS" w:cs="Calibri"/>
                <w:b/>
                <w:bCs/>
                <w:color w:val="000000"/>
                <w:sz w:val="16"/>
                <w:szCs w:val="16"/>
              </w:rPr>
            </w:pPr>
            <w:r>
              <w:rPr>
                <w:rFonts w:ascii="Trebuchet MS" w:hAnsi="Trebuchet MS" w:cs="Calibri"/>
                <w:b/>
                <w:bCs/>
                <w:color w:val="000000"/>
                <w:sz w:val="16"/>
                <w:szCs w:val="16"/>
              </w:rPr>
              <w:t>Indikator Kinerja Utama</w:t>
            </w:r>
          </w:p>
        </w:tc>
        <w:tc>
          <w:tcPr>
            <w:tcW w:w="1890" w:type="dxa"/>
            <w:vMerge w:val="restart"/>
            <w:tcBorders>
              <w:top w:val="single" w:color="auto" w:sz="8" w:space="0"/>
              <w:left w:val="nil"/>
              <w:bottom w:val="single" w:color="000000" w:sz="8" w:space="0"/>
              <w:right w:val="single" w:color="auto" w:sz="8" w:space="0"/>
            </w:tcBorders>
            <w:shd w:val="clear" w:color="auto" w:fill="BFBFBF"/>
            <w:vAlign w:val="center"/>
          </w:tcPr>
          <w:p>
            <w:pPr>
              <w:spacing w:after="0"/>
              <w:jc w:val="center"/>
              <w:rPr>
                <w:rFonts w:ascii="Trebuchet MS" w:hAnsi="Trebuchet MS" w:cs="Calibri"/>
                <w:b/>
                <w:bCs/>
                <w:color w:val="000000"/>
                <w:sz w:val="16"/>
                <w:szCs w:val="16"/>
              </w:rPr>
            </w:pPr>
            <w:r>
              <w:rPr>
                <w:rFonts w:ascii="Trebuchet MS" w:hAnsi="Trebuchet MS" w:cs="Calibri"/>
                <w:b/>
                <w:bCs/>
                <w:color w:val="000000"/>
                <w:sz w:val="16"/>
                <w:szCs w:val="16"/>
              </w:rPr>
              <w:t>Definisi Operasional</w:t>
            </w:r>
          </w:p>
        </w:tc>
        <w:tc>
          <w:tcPr>
            <w:tcW w:w="3001" w:type="dxa"/>
            <w:vMerge w:val="restart"/>
            <w:tcBorders>
              <w:top w:val="single" w:color="auto" w:sz="8" w:space="0"/>
              <w:left w:val="nil"/>
              <w:bottom w:val="single" w:color="000000" w:sz="8" w:space="0"/>
              <w:right w:val="single" w:color="auto" w:sz="8" w:space="0"/>
            </w:tcBorders>
            <w:shd w:val="clear" w:color="auto" w:fill="BFBFBF"/>
            <w:vAlign w:val="center"/>
          </w:tcPr>
          <w:p>
            <w:pPr>
              <w:spacing w:after="0"/>
              <w:jc w:val="center"/>
              <w:rPr>
                <w:rFonts w:ascii="Trebuchet MS" w:hAnsi="Trebuchet MS" w:cs="Calibri"/>
                <w:b/>
                <w:bCs/>
                <w:color w:val="000000"/>
                <w:sz w:val="16"/>
                <w:szCs w:val="16"/>
              </w:rPr>
            </w:pPr>
            <w:r>
              <w:rPr>
                <w:rFonts w:ascii="Trebuchet MS" w:hAnsi="Trebuchet MS" w:cs="Calibri"/>
                <w:b/>
                <w:bCs/>
                <w:color w:val="000000"/>
                <w:sz w:val="16"/>
                <w:szCs w:val="16"/>
              </w:rPr>
              <w:t>Formulasi Perhitungan</w:t>
            </w:r>
          </w:p>
        </w:tc>
        <w:tc>
          <w:tcPr>
            <w:tcW w:w="1291" w:type="dxa"/>
            <w:vMerge w:val="restart"/>
            <w:tcBorders>
              <w:top w:val="single" w:color="auto" w:sz="8" w:space="0"/>
              <w:left w:val="nil"/>
              <w:bottom w:val="single" w:color="000000" w:sz="8" w:space="0"/>
              <w:right w:val="single" w:color="auto" w:sz="8" w:space="0"/>
            </w:tcBorders>
            <w:shd w:val="clear" w:color="auto" w:fill="BFBFBF"/>
            <w:vAlign w:val="center"/>
          </w:tcPr>
          <w:p>
            <w:pPr>
              <w:spacing w:after="0"/>
              <w:jc w:val="center"/>
              <w:rPr>
                <w:rFonts w:ascii="Trebuchet MS" w:hAnsi="Trebuchet MS" w:cs="Calibri"/>
                <w:b/>
                <w:bCs/>
                <w:color w:val="000000"/>
                <w:sz w:val="16"/>
                <w:szCs w:val="16"/>
              </w:rPr>
            </w:pPr>
            <w:r>
              <w:rPr>
                <w:rFonts w:ascii="Trebuchet MS" w:hAnsi="Trebuchet MS" w:cs="Calibri"/>
                <w:b/>
                <w:bCs/>
                <w:color w:val="000000"/>
                <w:sz w:val="16"/>
                <w:szCs w:val="16"/>
              </w:rPr>
              <w:t>Sumber Data</w:t>
            </w:r>
          </w:p>
        </w:tc>
      </w:tr>
      <w:tr>
        <w:tblPrEx>
          <w:tblCellMar>
            <w:top w:w="0" w:type="dxa"/>
            <w:left w:w="108" w:type="dxa"/>
            <w:bottom w:w="0" w:type="dxa"/>
            <w:right w:w="108" w:type="dxa"/>
          </w:tblCellMar>
        </w:tblPrEx>
        <w:trPr>
          <w:trHeight w:val="40" w:hRule="atLeast"/>
        </w:trPr>
        <w:tc>
          <w:tcPr>
            <w:tcW w:w="0" w:type="auto"/>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0" w:type="auto"/>
            <w:vMerge w:val="continue"/>
            <w:tcBorders>
              <w:top w:val="single" w:color="auto" w:sz="8" w:space="0"/>
              <w:left w:val="nil"/>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0" w:type="auto"/>
            <w:vMerge w:val="continue"/>
            <w:tcBorders>
              <w:top w:val="single" w:color="auto" w:sz="8" w:space="0"/>
              <w:left w:val="nil"/>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0" w:type="auto"/>
            <w:vMerge w:val="continue"/>
            <w:tcBorders>
              <w:top w:val="single" w:color="auto" w:sz="8" w:space="0"/>
              <w:left w:val="nil"/>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0" w:type="auto"/>
            <w:vMerge w:val="continue"/>
            <w:tcBorders>
              <w:top w:val="single" w:color="auto" w:sz="8" w:space="0"/>
              <w:left w:val="nil"/>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0" w:type="auto"/>
            <w:vMerge w:val="continue"/>
            <w:tcBorders>
              <w:top w:val="single" w:color="auto" w:sz="8" w:space="0"/>
              <w:left w:val="nil"/>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222" w:type="dxa"/>
            <w:tcBorders>
              <w:top w:val="nil"/>
              <w:left w:val="nil"/>
              <w:bottom w:val="nil"/>
              <w:right w:val="nil"/>
            </w:tcBorders>
            <w:noWrap/>
            <w:vAlign w:val="bottom"/>
          </w:tcPr>
          <w:p>
            <w:pPr>
              <w:spacing w:after="0"/>
              <w:jc w:val="center"/>
              <w:rPr>
                <w:rFonts w:ascii="Trebuchet MS" w:hAnsi="Trebuchet MS" w:cs="Calibri"/>
                <w:b/>
                <w:bCs/>
                <w:color w:val="000000"/>
                <w:sz w:val="16"/>
                <w:szCs w:val="16"/>
              </w:rPr>
            </w:pPr>
          </w:p>
        </w:tc>
      </w:tr>
      <w:tr>
        <w:tblPrEx>
          <w:tblCellMar>
            <w:top w:w="0" w:type="dxa"/>
            <w:left w:w="108" w:type="dxa"/>
            <w:bottom w:w="0" w:type="dxa"/>
            <w:right w:w="108" w:type="dxa"/>
          </w:tblCellMar>
        </w:tblPrEx>
        <w:trPr>
          <w:trHeight w:val="130" w:hRule="atLeast"/>
        </w:trPr>
        <w:tc>
          <w:tcPr>
            <w:tcW w:w="0" w:type="auto"/>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0" w:type="auto"/>
            <w:vMerge w:val="continue"/>
            <w:tcBorders>
              <w:top w:val="single" w:color="auto" w:sz="8" w:space="0"/>
              <w:left w:val="nil"/>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0" w:type="auto"/>
            <w:vMerge w:val="continue"/>
            <w:tcBorders>
              <w:top w:val="single" w:color="auto" w:sz="8" w:space="0"/>
              <w:left w:val="nil"/>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0" w:type="auto"/>
            <w:vMerge w:val="continue"/>
            <w:tcBorders>
              <w:top w:val="single" w:color="auto" w:sz="8" w:space="0"/>
              <w:left w:val="nil"/>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0" w:type="auto"/>
            <w:vMerge w:val="continue"/>
            <w:tcBorders>
              <w:top w:val="single" w:color="auto" w:sz="8" w:space="0"/>
              <w:left w:val="nil"/>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0" w:type="auto"/>
            <w:vMerge w:val="continue"/>
            <w:tcBorders>
              <w:top w:val="single" w:color="auto" w:sz="8" w:space="0"/>
              <w:left w:val="nil"/>
              <w:bottom w:val="single" w:color="000000" w:sz="8" w:space="0"/>
              <w:right w:val="single" w:color="auto" w:sz="8" w:space="0"/>
            </w:tcBorders>
            <w:vAlign w:val="center"/>
          </w:tcPr>
          <w:p>
            <w:pPr>
              <w:spacing w:after="0" w:line="240" w:lineRule="auto"/>
              <w:rPr>
                <w:rFonts w:ascii="Trebuchet MS" w:hAnsi="Trebuchet MS" w:cs="Calibri"/>
                <w:b/>
                <w:bCs/>
                <w:color w:val="000000"/>
                <w:sz w:val="16"/>
                <w:szCs w:val="16"/>
              </w:rPr>
            </w:pPr>
          </w:p>
        </w:tc>
        <w:tc>
          <w:tcPr>
            <w:tcW w:w="222" w:type="dxa"/>
            <w:tcBorders>
              <w:top w:val="nil"/>
              <w:left w:val="nil"/>
              <w:bottom w:val="nil"/>
              <w:right w:val="nil"/>
            </w:tcBorders>
            <w:noWrap/>
            <w:vAlign w:val="bottom"/>
          </w:tcPr>
          <w:p>
            <w:pPr>
              <w:spacing w:after="0"/>
              <w:rPr>
                <w:rFonts w:ascii="Trebuchet MS" w:hAnsi="Trebuchet MS"/>
                <w:sz w:val="16"/>
                <w:szCs w:val="16"/>
              </w:rPr>
            </w:pPr>
          </w:p>
        </w:tc>
      </w:tr>
      <w:tr>
        <w:tblPrEx>
          <w:tblCellMar>
            <w:top w:w="0" w:type="dxa"/>
            <w:left w:w="108" w:type="dxa"/>
            <w:bottom w:w="0" w:type="dxa"/>
            <w:right w:w="108" w:type="dxa"/>
          </w:tblCellMar>
        </w:tblPrEx>
        <w:trPr>
          <w:trHeight w:val="700" w:hRule="atLeast"/>
        </w:trPr>
        <w:tc>
          <w:tcPr>
            <w:tcW w:w="440" w:type="dxa"/>
            <w:vMerge w:val="restart"/>
            <w:tcBorders>
              <w:top w:val="nil"/>
              <w:left w:val="single" w:color="auto" w:sz="8" w:space="0"/>
              <w:bottom w:val="single" w:color="000000" w:sz="8" w:space="0"/>
              <w:right w:val="single" w:color="auto" w:sz="8" w:space="0"/>
            </w:tcBorders>
          </w:tcPr>
          <w:p>
            <w:pPr>
              <w:spacing w:after="0"/>
              <w:jc w:val="center"/>
              <w:rPr>
                <w:rFonts w:ascii="Trebuchet MS" w:hAnsi="Trebuchet MS" w:cs="Calibri"/>
                <w:color w:val="000000"/>
                <w:sz w:val="16"/>
                <w:szCs w:val="16"/>
              </w:rPr>
            </w:pPr>
            <w:r>
              <w:rPr>
                <w:rFonts w:ascii="Trebuchet MS" w:hAnsi="Trebuchet MS" w:cs="Calibri"/>
                <w:color w:val="000000"/>
                <w:sz w:val="16"/>
                <w:szCs w:val="16"/>
              </w:rPr>
              <w:t>1</w:t>
            </w:r>
          </w:p>
        </w:tc>
        <w:tc>
          <w:tcPr>
            <w:tcW w:w="1553" w:type="dxa"/>
            <w:vMerge w:val="restart"/>
            <w:tcBorders>
              <w:top w:val="nil"/>
              <w:left w:val="nil"/>
              <w:bottom w:val="single" w:color="000000" w:sz="8" w:space="0"/>
              <w:right w:val="single" w:color="auto" w:sz="8" w:space="0"/>
            </w:tcBorders>
          </w:tcPr>
          <w:p>
            <w:pPr>
              <w:spacing w:after="0"/>
              <w:jc w:val="both"/>
              <w:rPr>
                <w:rFonts w:ascii="Trebuchet MS" w:hAnsi="Trebuchet MS" w:cs="Calibri"/>
                <w:color w:val="000000"/>
                <w:sz w:val="16"/>
                <w:szCs w:val="16"/>
              </w:rPr>
            </w:pPr>
            <w:r>
              <w:rPr>
                <w:rFonts w:ascii="Trebuchet MS" w:hAnsi="Trebuchet MS" w:cs="Calibri"/>
                <w:color w:val="000000"/>
                <w:sz w:val="16"/>
                <w:szCs w:val="16"/>
              </w:rPr>
              <w:t>Meningkatnya Penyelenggaraan Pemerintahan  di Kecamatan</w:t>
            </w:r>
          </w:p>
        </w:tc>
        <w:tc>
          <w:tcPr>
            <w:tcW w:w="1396" w:type="dxa"/>
            <w:vMerge w:val="restart"/>
            <w:tcBorders>
              <w:top w:val="nil"/>
              <w:left w:val="nil"/>
              <w:bottom w:val="single" w:color="000000" w:sz="8" w:space="0"/>
              <w:right w:val="single" w:color="auto" w:sz="8" w:space="0"/>
            </w:tcBorders>
          </w:tcPr>
          <w:p>
            <w:pPr>
              <w:spacing w:after="0"/>
              <w:rPr>
                <w:rFonts w:ascii="Trebuchet MS" w:hAnsi="Trebuchet MS" w:cs="Calibri"/>
                <w:color w:val="000000"/>
                <w:sz w:val="16"/>
                <w:szCs w:val="16"/>
              </w:rPr>
            </w:pPr>
            <w:r>
              <w:rPr>
                <w:rFonts w:ascii="Trebuchet MS" w:hAnsi="Trebuchet MS" w:cs="Calibri"/>
                <w:color w:val="000000"/>
                <w:sz w:val="16"/>
                <w:szCs w:val="16"/>
              </w:rPr>
              <w:t xml:space="preserve">Nila Evaluasi Kecamatan </w:t>
            </w:r>
          </w:p>
        </w:tc>
        <w:tc>
          <w:tcPr>
            <w:tcW w:w="1890" w:type="dxa"/>
            <w:vMerge w:val="restart"/>
            <w:tcBorders>
              <w:top w:val="nil"/>
              <w:left w:val="nil"/>
              <w:bottom w:val="single" w:color="000000" w:sz="8" w:space="0"/>
              <w:right w:val="single" w:color="auto" w:sz="8" w:space="0"/>
            </w:tcBorders>
          </w:tcPr>
          <w:p>
            <w:pPr>
              <w:spacing w:after="0"/>
              <w:jc w:val="both"/>
              <w:rPr>
                <w:rFonts w:ascii="Trebuchet MS" w:hAnsi="Trebuchet MS" w:cs="Calibri Light"/>
                <w:color w:val="000000"/>
                <w:sz w:val="16"/>
                <w:szCs w:val="16"/>
              </w:rPr>
            </w:pPr>
            <w:r>
              <w:rPr>
                <w:rFonts w:ascii="Trebuchet MS" w:hAnsi="Trebuchet MS" w:cs="Calibri Light"/>
                <w:color w:val="000000"/>
                <w:sz w:val="16"/>
                <w:szCs w:val="16"/>
              </w:rPr>
              <w:t>Pengukuran kinerja kecamatan Kinerja terhadap tingkat kreativitas dan inovasi perangkat kecamatan dalam mengoordinasikan dan melaksanakan program pemerintahan dan pembangunan, kesejahteraan masyarakat di wilayah kerjanya. (Perbup Banjar Tentang Pedoman Evaluasi Kinerja Kecamatan)</w:t>
            </w:r>
          </w:p>
        </w:tc>
        <w:tc>
          <w:tcPr>
            <w:tcW w:w="3001" w:type="dxa"/>
            <w:tcBorders>
              <w:top w:val="nil"/>
              <w:left w:val="nil"/>
              <w:bottom w:val="nil"/>
              <w:right w:val="single" w:color="auto" w:sz="8" w:space="0"/>
            </w:tcBorders>
          </w:tcPr>
          <w:p>
            <w:pPr>
              <w:spacing w:after="0"/>
              <w:rPr>
                <w:rFonts w:ascii="Trebuchet MS" w:hAnsi="Trebuchet MS" w:cs="Calibri Light"/>
                <w:color w:val="000000"/>
                <w:sz w:val="16"/>
                <w:szCs w:val="16"/>
              </w:rPr>
            </w:pPr>
            <w:r>
              <w:rPr>
                <w:rFonts w:ascii="Trebuchet MS" w:hAnsi="Trebuchet MS" w:cs="Calibri Light"/>
                <w:color w:val="000000"/>
                <w:sz w:val="16"/>
                <w:szCs w:val="16"/>
              </w:rPr>
              <w:t xml:space="preserve">(Total dari nilai persepsi per unsur / total unsur yang terisi) x nilai penimbang </w:t>
            </w:r>
          </w:p>
        </w:tc>
        <w:tc>
          <w:tcPr>
            <w:tcW w:w="1291" w:type="dxa"/>
            <w:vMerge w:val="restart"/>
            <w:tcBorders>
              <w:top w:val="nil"/>
              <w:left w:val="nil"/>
              <w:bottom w:val="single" w:color="000000" w:sz="8" w:space="0"/>
              <w:right w:val="single" w:color="auto" w:sz="8" w:space="0"/>
            </w:tcBorders>
          </w:tcPr>
          <w:p>
            <w:pPr>
              <w:spacing w:after="0"/>
              <w:jc w:val="center"/>
              <w:rPr>
                <w:rFonts w:ascii="Trebuchet MS" w:hAnsi="Trebuchet MS" w:cs="Calibri Light"/>
                <w:color w:val="000000"/>
                <w:sz w:val="16"/>
                <w:szCs w:val="16"/>
              </w:rPr>
            </w:pPr>
            <w:r>
              <w:rPr>
                <w:rFonts w:ascii="Trebuchet MS" w:hAnsi="Trebuchet MS" w:cs="Calibri Light"/>
                <w:color w:val="000000"/>
                <w:sz w:val="16"/>
                <w:szCs w:val="16"/>
              </w:rPr>
              <w:t xml:space="preserve">Tim Penilai Kinerja Kecamatan Tingkat Kabupaten </w:t>
            </w:r>
          </w:p>
        </w:tc>
        <w:tc>
          <w:tcPr>
            <w:tcW w:w="222" w:type="dxa"/>
            <w:tcBorders>
              <w:top w:val="nil"/>
              <w:left w:val="nil"/>
              <w:bottom w:val="nil"/>
              <w:right w:val="nil"/>
            </w:tcBorders>
            <w:vAlign w:val="center"/>
          </w:tcPr>
          <w:p>
            <w:pPr>
              <w:spacing w:after="0"/>
              <w:rPr>
                <w:rFonts w:ascii="Trebuchet MS" w:hAnsi="Trebuchet MS"/>
                <w:sz w:val="16"/>
                <w:szCs w:val="16"/>
              </w:rPr>
            </w:pPr>
          </w:p>
        </w:tc>
      </w:tr>
      <w:tr>
        <w:tblPrEx>
          <w:tblCellMar>
            <w:top w:w="0" w:type="dxa"/>
            <w:left w:w="108" w:type="dxa"/>
            <w:bottom w:w="0" w:type="dxa"/>
            <w:right w:w="108" w:type="dxa"/>
          </w:tblCellMar>
        </w:tblPrEx>
        <w:trPr>
          <w:trHeight w:val="290" w:hRule="atLeast"/>
        </w:trPr>
        <w:tc>
          <w:tcPr>
            <w:tcW w:w="0" w:type="auto"/>
            <w:vMerge w:val="continue"/>
            <w:tcBorders>
              <w:top w:val="nil"/>
              <w:left w:val="single" w:color="auto" w:sz="8" w:space="0"/>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3001" w:type="dxa"/>
            <w:tcBorders>
              <w:top w:val="nil"/>
              <w:left w:val="nil"/>
              <w:bottom w:val="nil"/>
              <w:right w:val="single" w:color="auto" w:sz="8" w:space="0"/>
            </w:tcBorders>
            <w:vAlign w:val="center"/>
          </w:tcPr>
          <w:p>
            <w:pPr>
              <w:spacing w:after="0"/>
              <w:rPr>
                <w:rFonts w:ascii="Trebuchet MS" w:hAnsi="Trebuchet MS" w:cs="Calibri Light"/>
                <w:color w:val="000000"/>
                <w:sz w:val="16"/>
                <w:szCs w:val="16"/>
              </w:rPr>
            </w:pPr>
            <w:r>
              <w:rPr>
                <w:rFonts w:ascii="Trebuchet MS" w:hAnsi="Trebuchet MS" w:cs="Calibri Light"/>
                <w:color w:val="000000"/>
                <w:sz w:val="16"/>
                <w:szCs w:val="16"/>
              </w:rPr>
              <w:t>Aspek yang dinilai meliputi :</w:t>
            </w: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222" w:type="dxa"/>
            <w:tcBorders>
              <w:top w:val="nil"/>
              <w:left w:val="nil"/>
              <w:bottom w:val="nil"/>
              <w:right w:val="nil"/>
            </w:tcBorders>
            <w:vAlign w:val="center"/>
          </w:tcPr>
          <w:p>
            <w:pPr>
              <w:spacing w:after="0"/>
              <w:rPr>
                <w:rFonts w:ascii="Trebuchet MS" w:hAnsi="Trebuchet MS"/>
                <w:sz w:val="16"/>
                <w:szCs w:val="16"/>
              </w:rPr>
            </w:pPr>
          </w:p>
        </w:tc>
      </w:tr>
      <w:tr>
        <w:tblPrEx>
          <w:tblCellMar>
            <w:top w:w="0" w:type="dxa"/>
            <w:left w:w="108" w:type="dxa"/>
            <w:bottom w:w="0" w:type="dxa"/>
            <w:right w:w="108" w:type="dxa"/>
          </w:tblCellMar>
        </w:tblPrEx>
        <w:trPr>
          <w:trHeight w:val="1940" w:hRule="atLeast"/>
        </w:trPr>
        <w:tc>
          <w:tcPr>
            <w:tcW w:w="0" w:type="auto"/>
            <w:vMerge w:val="continue"/>
            <w:tcBorders>
              <w:top w:val="nil"/>
              <w:left w:val="single" w:color="auto" w:sz="8" w:space="0"/>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3001" w:type="dxa"/>
            <w:tcBorders>
              <w:top w:val="nil"/>
              <w:left w:val="nil"/>
              <w:bottom w:val="nil"/>
              <w:right w:val="single" w:color="auto" w:sz="8" w:space="0"/>
            </w:tcBorders>
          </w:tcPr>
          <w:p>
            <w:pPr>
              <w:spacing w:after="0"/>
              <w:jc w:val="both"/>
              <w:rPr>
                <w:rFonts w:ascii="Trebuchet MS" w:hAnsi="Trebuchet MS" w:cs="Calibri Light"/>
                <w:color w:val="000000"/>
                <w:sz w:val="16"/>
                <w:szCs w:val="16"/>
              </w:rPr>
            </w:pPr>
            <w:r>
              <w:rPr>
                <w:rFonts w:ascii="Trebuchet MS" w:hAnsi="Trebuchet MS" w:cs="Calibri Light"/>
                <w:color w:val="000000"/>
                <w:sz w:val="16"/>
                <w:szCs w:val="16"/>
              </w:rPr>
              <w:t>Aspek Administrasi, Aspek Pembinaan Penyelenggaraan Pemerintahan Desa, Aspek Pelayanan Publik, Aspek Kesejahteraan Sosial, Aspek Ketentraman dan Ketertiban, Aspek Pemerintahan Umum dan Pelimpahan Kewenangan, dan Aspek Pemberdayaan Masyarakat.</w:t>
            </w: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222" w:type="dxa"/>
            <w:tcBorders>
              <w:top w:val="nil"/>
              <w:left w:val="nil"/>
              <w:bottom w:val="nil"/>
              <w:right w:val="nil"/>
            </w:tcBorders>
            <w:vAlign w:val="center"/>
          </w:tcPr>
          <w:p>
            <w:pPr>
              <w:spacing w:after="0"/>
              <w:rPr>
                <w:rFonts w:ascii="Trebuchet MS" w:hAnsi="Trebuchet MS"/>
                <w:sz w:val="16"/>
                <w:szCs w:val="16"/>
              </w:rPr>
            </w:pPr>
          </w:p>
        </w:tc>
      </w:tr>
      <w:tr>
        <w:tblPrEx>
          <w:tblCellMar>
            <w:top w:w="0" w:type="dxa"/>
            <w:left w:w="108" w:type="dxa"/>
            <w:bottom w:w="0" w:type="dxa"/>
            <w:right w:w="108" w:type="dxa"/>
          </w:tblCellMar>
        </w:tblPrEx>
        <w:trPr>
          <w:trHeight w:val="290" w:hRule="atLeast"/>
        </w:trPr>
        <w:tc>
          <w:tcPr>
            <w:tcW w:w="0" w:type="auto"/>
            <w:vMerge w:val="continue"/>
            <w:tcBorders>
              <w:top w:val="nil"/>
              <w:left w:val="single" w:color="auto" w:sz="8" w:space="0"/>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3001" w:type="dxa"/>
            <w:vMerge w:val="restart"/>
            <w:tcBorders>
              <w:top w:val="nil"/>
              <w:left w:val="nil"/>
              <w:bottom w:val="nil"/>
              <w:right w:val="single" w:color="auto" w:sz="8" w:space="0"/>
            </w:tcBorders>
          </w:tcPr>
          <w:p>
            <w:pPr>
              <w:spacing w:after="0"/>
              <w:jc w:val="center"/>
              <w:rPr>
                <w:rFonts w:ascii="Trebuchet MS" w:hAnsi="Trebuchet MS" w:cs="Calibri Light"/>
                <w:color w:val="000000"/>
                <w:sz w:val="16"/>
                <w:szCs w:val="16"/>
              </w:rPr>
            </w:pPr>
            <w:r>
              <w:rPr>
                <w:rFonts w:ascii="Trebuchet MS" w:hAnsi="Trebuchet MS" w:cs="Calibri Light"/>
                <w:color w:val="000000"/>
                <w:sz w:val="16"/>
                <w:szCs w:val="16"/>
              </w:rPr>
              <w:t>Rencana Range Nilai :</w:t>
            </w: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222" w:type="dxa"/>
            <w:tcBorders>
              <w:top w:val="nil"/>
              <w:left w:val="nil"/>
              <w:bottom w:val="nil"/>
              <w:right w:val="nil"/>
            </w:tcBorders>
            <w:vAlign w:val="center"/>
          </w:tcPr>
          <w:p>
            <w:pPr>
              <w:spacing w:after="0"/>
              <w:rPr>
                <w:rFonts w:ascii="Trebuchet MS" w:hAnsi="Trebuchet MS"/>
                <w:sz w:val="16"/>
                <w:szCs w:val="16"/>
              </w:rPr>
            </w:pPr>
          </w:p>
        </w:tc>
      </w:tr>
      <w:tr>
        <w:tblPrEx>
          <w:tblCellMar>
            <w:top w:w="0" w:type="dxa"/>
            <w:left w:w="108" w:type="dxa"/>
            <w:bottom w:w="0" w:type="dxa"/>
            <w:right w:w="108" w:type="dxa"/>
          </w:tblCellMar>
        </w:tblPrEx>
        <w:trPr>
          <w:trHeight w:val="120" w:hRule="atLeast"/>
        </w:trPr>
        <w:tc>
          <w:tcPr>
            <w:tcW w:w="0" w:type="auto"/>
            <w:vMerge w:val="continue"/>
            <w:tcBorders>
              <w:top w:val="nil"/>
              <w:left w:val="single" w:color="auto" w:sz="8" w:space="0"/>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0" w:type="auto"/>
            <w:vMerge w:val="continue"/>
            <w:tcBorders>
              <w:top w:val="nil"/>
              <w:left w:val="nil"/>
              <w:bottom w:val="nil"/>
              <w:right w:val="single" w:color="auto" w:sz="8" w:space="0"/>
            </w:tcBorders>
            <w:vAlign w:val="center"/>
          </w:tcPr>
          <w:p>
            <w:pPr>
              <w:spacing w:after="0" w:line="240" w:lineRule="auto"/>
              <w:rPr>
                <w:rFonts w:ascii="Trebuchet MS" w:hAnsi="Trebuchet MS" w:cs="Calibri Light"/>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222" w:type="dxa"/>
            <w:tcBorders>
              <w:top w:val="nil"/>
              <w:left w:val="nil"/>
              <w:bottom w:val="nil"/>
              <w:right w:val="nil"/>
            </w:tcBorders>
            <w:noWrap/>
            <w:vAlign w:val="bottom"/>
          </w:tcPr>
          <w:p>
            <w:pPr>
              <w:spacing w:after="0"/>
              <w:jc w:val="center"/>
              <w:rPr>
                <w:rFonts w:ascii="Trebuchet MS" w:hAnsi="Trebuchet MS" w:cs="Calibri Light"/>
                <w:color w:val="000000"/>
                <w:sz w:val="16"/>
                <w:szCs w:val="16"/>
              </w:rPr>
            </w:pPr>
          </w:p>
        </w:tc>
      </w:tr>
      <w:tr>
        <w:tblPrEx>
          <w:tblCellMar>
            <w:top w:w="0" w:type="dxa"/>
            <w:left w:w="108" w:type="dxa"/>
            <w:bottom w:w="0" w:type="dxa"/>
            <w:right w:w="108" w:type="dxa"/>
          </w:tblCellMar>
        </w:tblPrEx>
        <w:trPr>
          <w:trHeight w:val="290" w:hRule="atLeast"/>
        </w:trPr>
        <w:tc>
          <w:tcPr>
            <w:tcW w:w="0" w:type="auto"/>
            <w:vMerge w:val="continue"/>
            <w:tcBorders>
              <w:top w:val="nil"/>
              <w:left w:val="single" w:color="auto" w:sz="8" w:space="0"/>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3001" w:type="dxa"/>
            <w:tcBorders>
              <w:top w:val="nil"/>
              <w:left w:val="nil"/>
              <w:bottom w:val="nil"/>
              <w:right w:val="single" w:color="auto" w:sz="8" w:space="0"/>
            </w:tcBorders>
          </w:tcPr>
          <w:p>
            <w:pPr>
              <w:spacing w:after="0"/>
              <w:jc w:val="center"/>
              <w:rPr>
                <w:rFonts w:ascii="Trebuchet MS" w:hAnsi="Trebuchet MS" w:cs="Calibri Light"/>
                <w:color w:val="000000"/>
                <w:sz w:val="16"/>
                <w:szCs w:val="16"/>
              </w:rPr>
            </w:pPr>
            <w:r>
              <w:rPr>
                <w:rFonts w:ascii="Trebuchet MS" w:hAnsi="Trebuchet MS" w:cs="Calibri Light"/>
                <w:color w:val="000000"/>
                <w:sz w:val="16"/>
                <w:szCs w:val="16"/>
              </w:rPr>
              <w:t>50-59 (Sangat Rendah)</w:t>
            </w: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222" w:type="dxa"/>
            <w:tcBorders>
              <w:top w:val="nil"/>
              <w:left w:val="nil"/>
              <w:bottom w:val="nil"/>
              <w:right w:val="nil"/>
            </w:tcBorders>
            <w:vAlign w:val="center"/>
          </w:tcPr>
          <w:p>
            <w:pPr>
              <w:spacing w:after="0"/>
              <w:rPr>
                <w:rFonts w:ascii="Trebuchet MS" w:hAnsi="Trebuchet MS"/>
                <w:sz w:val="16"/>
                <w:szCs w:val="16"/>
              </w:rPr>
            </w:pPr>
          </w:p>
        </w:tc>
      </w:tr>
      <w:tr>
        <w:tblPrEx>
          <w:tblCellMar>
            <w:top w:w="0" w:type="dxa"/>
            <w:left w:w="108" w:type="dxa"/>
            <w:bottom w:w="0" w:type="dxa"/>
            <w:right w:w="108" w:type="dxa"/>
          </w:tblCellMar>
        </w:tblPrEx>
        <w:trPr>
          <w:trHeight w:val="400" w:hRule="atLeast"/>
        </w:trPr>
        <w:tc>
          <w:tcPr>
            <w:tcW w:w="0" w:type="auto"/>
            <w:vMerge w:val="continue"/>
            <w:tcBorders>
              <w:top w:val="nil"/>
              <w:left w:val="single" w:color="auto" w:sz="8" w:space="0"/>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3001" w:type="dxa"/>
            <w:tcBorders>
              <w:top w:val="nil"/>
              <w:left w:val="nil"/>
              <w:bottom w:val="nil"/>
              <w:right w:val="single" w:color="auto" w:sz="8" w:space="0"/>
            </w:tcBorders>
            <w:vAlign w:val="center"/>
          </w:tcPr>
          <w:p>
            <w:pPr>
              <w:spacing w:after="0"/>
              <w:jc w:val="center"/>
              <w:rPr>
                <w:rFonts w:ascii="Trebuchet MS" w:hAnsi="Trebuchet MS" w:cs="Calibri Light"/>
                <w:color w:val="000000"/>
                <w:sz w:val="16"/>
                <w:szCs w:val="16"/>
              </w:rPr>
            </w:pPr>
            <w:r>
              <w:rPr>
                <w:rFonts w:ascii="Trebuchet MS" w:hAnsi="Trebuchet MS" w:cs="Calibri Light"/>
                <w:color w:val="000000"/>
                <w:sz w:val="16"/>
                <w:szCs w:val="16"/>
              </w:rPr>
              <w:t>60-69 (Rendah)</w:t>
            </w: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222" w:type="dxa"/>
            <w:tcBorders>
              <w:top w:val="nil"/>
              <w:left w:val="nil"/>
              <w:bottom w:val="nil"/>
              <w:right w:val="nil"/>
            </w:tcBorders>
            <w:vAlign w:val="center"/>
          </w:tcPr>
          <w:p>
            <w:pPr>
              <w:spacing w:after="0"/>
              <w:rPr>
                <w:rFonts w:ascii="Trebuchet MS" w:hAnsi="Trebuchet MS"/>
                <w:sz w:val="16"/>
                <w:szCs w:val="16"/>
              </w:rPr>
            </w:pPr>
          </w:p>
        </w:tc>
      </w:tr>
      <w:tr>
        <w:tblPrEx>
          <w:tblCellMar>
            <w:top w:w="0" w:type="dxa"/>
            <w:left w:w="108" w:type="dxa"/>
            <w:bottom w:w="0" w:type="dxa"/>
            <w:right w:w="108" w:type="dxa"/>
          </w:tblCellMar>
        </w:tblPrEx>
        <w:trPr>
          <w:trHeight w:val="400" w:hRule="atLeast"/>
        </w:trPr>
        <w:tc>
          <w:tcPr>
            <w:tcW w:w="0" w:type="auto"/>
            <w:vMerge w:val="continue"/>
            <w:tcBorders>
              <w:top w:val="nil"/>
              <w:left w:val="single" w:color="auto" w:sz="8" w:space="0"/>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3001" w:type="dxa"/>
            <w:tcBorders>
              <w:top w:val="nil"/>
              <w:left w:val="nil"/>
              <w:bottom w:val="nil"/>
              <w:right w:val="single" w:color="auto" w:sz="8" w:space="0"/>
            </w:tcBorders>
            <w:vAlign w:val="center"/>
          </w:tcPr>
          <w:p>
            <w:pPr>
              <w:spacing w:after="0"/>
              <w:jc w:val="center"/>
              <w:rPr>
                <w:rFonts w:ascii="Trebuchet MS" w:hAnsi="Trebuchet MS" w:cs="Calibri Light"/>
                <w:color w:val="000000"/>
                <w:sz w:val="16"/>
                <w:szCs w:val="16"/>
              </w:rPr>
            </w:pPr>
            <w:r>
              <w:rPr>
                <w:rFonts w:ascii="Trebuchet MS" w:hAnsi="Trebuchet MS" w:cs="Calibri Light"/>
                <w:color w:val="000000"/>
                <w:sz w:val="16"/>
                <w:szCs w:val="16"/>
              </w:rPr>
              <w:t xml:space="preserve">70-79 (Sedang) </w:t>
            </w: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222" w:type="dxa"/>
            <w:tcBorders>
              <w:top w:val="nil"/>
              <w:left w:val="nil"/>
              <w:bottom w:val="nil"/>
              <w:right w:val="nil"/>
            </w:tcBorders>
            <w:vAlign w:val="center"/>
          </w:tcPr>
          <w:p>
            <w:pPr>
              <w:spacing w:after="0"/>
              <w:rPr>
                <w:rFonts w:ascii="Trebuchet MS" w:hAnsi="Trebuchet MS"/>
                <w:sz w:val="16"/>
                <w:szCs w:val="16"/>
              </w:rPr>
            </w:pPr>
          </w:p>
        </w:tc>
      </w:tr>
      <w:tr>
        <w:tblPrEx>
          <w:tblCellMar>
            <w:top w:w="0" w:type="dxa"/>
            <w:left w:w="108" w:type="dxa"/>
            <w:bottom w:w="0" w:type="dxa"/>
            <w:right w:w="108" w:type="dxa"/>
          </w:tblCellMar>
        </w:tblPrEx>
        <w:trPr>
          <w:trHeight w:val="400" w:hRule="atLeast"/>
        </w:trPr>
        <w:tc>
          <w:tcPr>
            <w:tcW w:w="0" w:type="auto"/>
            <w:vMerge w:val="continue"/>
            <w:tcBorders>
              <w:top w:val="nil"/>
              <w:left w:val="single" w:color="auto" w:sz="8" w:space="0"/>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3001" w:type="dxa"/>
            <w:tcBorders>
              <w:top w:val="nil"/>
              <w:left w:val="nil"/>
              <w:bottom w:val="nil"/>
              <w:right w:val="single" w:color="auto" w:sz="8" w:space="0"/>
            </w:tcBorders>
            <w:vAlign w:val="center"/>
          </w:tcPr>
          <w:p>
            <w:pPr>
              <w:spacing w:after="0"/>
              <w:jc w:val="center"/>
              <w:rPr>
                <w:rFonts w:ascii="Trebuchet MS" w:hAnsi="Trebuchet MS" w:cs="Calibri Light"/>
                <w:color w:val="000000"/>
                <w:sz w:val="16"/>
                <w:szCs w:val="16"/>
              </w:rPr>
            </w:pPr>
            <w:r>
              <w:rPr>
                <w:rFonts w:ascii="Trebuchet MS" w:hAnsi="Trebuchet MS" w:cs="Calibri Light"/>
                <w:color w:val="000000"/>
                <w:sz w:val="16"/>
                <w:szCs w:val="16"/>
              </w:rPr>
              <w:t>80-89 (Baik/Tinggi)</w:t>
            </w: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222" w:type="dxa"/>
            <w:tcBorders>
              <w:top w:val="nil"/>
              <w:left w:val="nil"/>
              <w:bottom w:val="nil"/>
              <w:right w:val="nil"/>
            </w:tcBorders>
            <w:vAlign w:val="center"/>
          </w:tcPr>
          <w:p>
            <w:pPr>
              <w:spacing w:after="0"/>
              <w:rPr>
                <w:rFonts w:ascii="Trebuchet MS" w:hAnsi="Trebuchet MS"/>
                <w:sz w:val="16"/>
                <w:szCs w:val="16"/>
              </w:rPr>
            </w:pPr>
          </w:p>
        </w:tc>
      </w:tr>
      <w:tr>
        <w:tblPrEx>
          <w:tblCellMar>
            <w:top w:w="0" w:type="dxa"/>
            <w:left w:w="108" w:type="dxa"/>
            <w:bottom w:w="0" w:type="dxa"/>
            <w:right w:w="108" w:type="dxa"/>
          </w:tblCellMar>
        </w:tblPrEx>
        <w:trPr>
          <w:trHeight w:val="400" w:hRule="atLeast"/>
        </w:trPr>
        <w:tc>
          <w:tcPr>
            <w:tcW w:w="0" w:type="auto"/>
            <w:vMerge w:val="continue"/>
            <w:tcBorders>
              <w:top w:val="nil"/>
              <w:left w:val="single" w:color="auto" w:sz="8" w:space="0"/>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w:color w:val="000000"/>
                <w:sz w:val="16"/>
                <w:szCs w:val="16"/>
              </w:rPr>
            </w:pP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3001" w:type="dxa"/>
            <w:tcBorders>
              <w:top w:val="nil"/>
              <w:left w:val="nil"/>
              <w:bottom w:val="single" w:color="auto" w:sz="8" w:space="0"/>
              <w:right w:val="single" w:color="auto" w:sz="8" w:space="0"/>
            </w:tcBorders>
            <w:vAlign w:val="center"/>
          </w:tcPr>
          <w:p>
            <w:pPr>
              <w:spacing w:after="0"/>
              <w:jc w:val="center"/>
              <w:rPr>
                <w:rFonts w:ascii="Trebuchet MS" w:hAnsi="Trebuchet MS" w:cs="Calibri Light"/>
                <w:color w:val="000000"/>
                <w:sz w:val="16"/>
                <w:szCs w:val="16"/>
              </w:rPr>
            </w:pPr>
            <w:r>
              <w:rPr>
                <w:rFonts w:ascii="Trebuchet MS" w:hAnsi="Trebuchet MS" w:cs="Calibri Light"/>
                <w:color w:val="000000"/>
                <w:sz w:val="16"/>
                <w:szCs w:val="16"/>
              </w:rPr>
              <w:t>90-100 (Sangat Baik/ Sangat Tinggi)</w:t>
            </w:r>
          </w:p>
        </w:tc>
        <w:tc>
          <w:tcPr>
            <w:tcW w:w="0" w:type="auto"/>
            <w:vMerge w:val="continue"/>
            <w:tcBorders>
              <w:top w:val="nil"/>
              <w:left w:val="nil"/>
              <w:bottom w:val="single" w:color="000000" w:sz="8" w:space="0"/>
              <w:right w:val="single" w:color="auto" w:sz="8" w:space="0"/>
            </w:tcBorders>
            <w:vAlign w:val="center"/>
          </w:tcPr>
          <w:p>
            <w:pPr>
              <w:spacing w:after="0" w:line="240" w:lineRule="auto"/>
              <w:rPr>
                <w:rFonts w:ascii="Trebuchet MS" w:hAnsi="Trebuchet MS" w:cs="Calibri Light"/>
                <w:color w:val="000000"/>
                <w:sz w:val="16"/>
                <w:szCs w:val="16"/>
              </w:rPr>
            </w:pPr>
          </w:p>
        </w:tc>
        <w:tc>
          <w:tcPr>
            <w:tcW w:w="222" w:type="dxa"/>
            <w:tcBorders>
              <w:top w:val="nil"/>
              <w:left w:val="nil"/>
              <w:bottom w:val="nil"/>
              <w:right w:val="nil"/>
            </w:tcBorders>
            <w:vAlign w:val="center"/>
          </w:tcPr>
          <w:p>
            <w:pPr>
              <w:spacing w:after="0"/>
              <w:rPr>
                <w:rFonts w:ascii="Trebuchet MS" w:hAnsi="Trebuchet MS"/>
                <w:sz w:val="16"/>
                <w:szCs w:val="16"/>
              </w:rPr>
            </w:pPr>
          </w:p>
        </w:tc>
      </w:tr>
    </w:tbl>
    <w:p>
      <w:pPr>
        <w:pStyle w:val="6"/>
        <w:spacing w:before="3" w:line="273" w:lineRule="auto"/>
        <w:ind w:left="1276" w:hanging="1276"/>
        <w:rPr>
          <w:rFonts w:ascii="Trebuchet MS" w:hAnsi="Trebuchet MS"/>
          <w:i/>
          <w:sz w:val="16"/>
          <w:szCs w:val="16"/>
        </w:rPr>
      </w:pPr>
      <w:r>
        <w:rPr>
          <w:rFonts w:ascii="Trebuchet MS" w:hAnsi="Trebuchet MS"/>
          <w:i/>
          <w:sz w:val="16"/>
          <w:szCs w:val="16"/>
        </w:rPr>
        <w:t xml:space="preserve">           Sumber : SK IKU  Kec.Astambul</w:t>
      </w:r>
    </w:p>
    <w:p>
      <w:pPr>
        <w:spacing w:after="0" w:line="240" w:lineRule="auto"/>
        <w:rPr>
          <w:rFonts w:ascii="Arial" w:hAnsi="Arial" w:cs="Arial"/>
          <w:sz w:val="24"/>
          <w:szCs w:val="24"/>
        </w:rPr>
      </w:pPr>
    </w:p>
    <w:p>
      <w:pPr>
        <w:spacing w:after="0" w:line="360" w:lineRule="auto"/>
        <w:ind w:left="567" w:hanging="567"/>
        <w:rPr>
          <w:rFonts w:ascii="Arial" w:hAnsi="Arial" w:cs="Arial"/>
          <w:b/>
          <w:sz w:val="24"/>
          <w:szCs w:val="24"/>
        </w:rPr>
      </w:pPr>
      <w:r>
        <w:rPr>
          <w:rFonts w:ascii="Arial" w:hAnsi="Arial" w:cs="Arial"/>
          <w:b/>
          <w:sz w:val="24"/>
          <w:szCs w:val="24"/>
        </w:rPr>
        <w:t>2.3</w:t>
      </w:r>
      <w:r>
        <w:rPr>
          <w:rFonts w:ascii="Arial" w:hAnsi="Arial" w:cs="Arial"/>
          <w:b/>
          <w:sz w:val="24"/>
          <w:szCs w:val="24"/>
        </w:rPr>
        <w:tab/>
      </w:r>
      <w:r>
        <w:rPr>
          <w:rFonts w:ascii="Arial" w:hAnsi="Arial" w:cs="Arial"/>
          <w:b/>
          <w:sz w:val="24"/>
          <w:szCs w:val="24"/>
        </w:rPr>
        <w:t>Perjanjian Kinerja</w:t>
      </w:r>
    </w:p>
    <w:p>
      <w:pPr>
        <w:spacing w:after="0" w:line="360" w:lineRule="auto"/>
        <w:ind w:left="567" w:firstLine="851"/>
        <w:jc w:val="both"/>
        <w:rPr>
          <w:rFonts w:ascii="Arial" w:hAnsi="Arial" w:cs="Arial"/>
          <w:sz w:val="24"/>
          <w:szCs w:val="24"/>
        </w:rPr>
      </w:pPr>
      <w:r>
        <w:rPr>
          <w:rFonts w:ascii="Arial" w:hAnsi="Arial" w:cs="Arial"/>
          <w:sz w:val="24"/>
          <w:szCs w:val="24"/>
        </w:rPr>
        <w:t xml:space="preserve">Dokumen Perjanjian Kinerja (PK) merupakan dokumen yang berisikan penugasan dari pimpinan instansi yang lebih tinggi kepada  pimpinan instansi yang ada dibawahnya untuk melaksanakan program/kegiatan yang disertai dengan indikator kinerja. </w:t>
      </w:r>
      <w:r>
        <w:rPr>
          <w:rFonts w:ascii="Arial" w:hAnsi="Arial" w:cs="Arial"/>
          <w:sz w:val="24"/>
          <w:szCs w:val="24"/>
          <w:lang w:val="en-GB"/>
        </w:rPr>
        <w:t>Melalui perjanjian kinerja, terwujudlah komitmen penerima amanah dan kesepakatan antara penerima dan pemberi amanah atas kinerja terukur tertentu berdasarkan tugas, fungsi, dan wewenang serta sumberdaya  yang tersedia. Dokumen tersebut memuat sasaran strategis, indicator kinerja, beserta target kinerja dan anggaran</w:t>
      </w:r>
      <w:r>
        <w:rPr>
          <w:rFonts w:ascii="Arial" w:hAnsi="Arial" w:cs="Arial"/>
          <w:sz w:val="24"/>
          <w:szCs w:val="24"/>
        </w:rPr>
        <w:t>.</w:t>
      </w:r>
    </w:p>
    <w:p>
      <w:pPr>
        <w:spacing w:after="0" w:line="360" w:lineRule="auto"/>
        <w:ind w:left="567" w:firstLine="851"/>
        <w:jc w:val="both"/>
        <w:rPr>
          <w:rFonts w:ascii="Arial" w:hAnsi="Arial" w:cs="Arial"/>
          <w:sz w:val="24"/>
          <w:szCs w:val="24"/>
        </w:rPr>
      </w:pPr>
    </w:p>
    <w:p>
      <w:pPr>
        <w:spacing w:after="0" w:line="240" w:lineRule="auto"/>
        <w:jc w:val="center"/>
        <w:rPr>
          <w:rFonts w:ascii="Arial" w:hAnsi="Arial" w:cs="Arial"/>
          <w:sz w:val="24"/>
          <w:szCs w:val="24"/>
        </w:rPr>
      </w:pPr>
      <w:r>
        <w:rPr>
          <w:rFonts w:ascii="Arial" w:hAnsi="Arial" w:cs="Arial"/>
          <w:sz w:val="24"/>
          <w:szCs w:val="24"/>
        </w:rPr>
        <w:t>Tabel 2.4</w:t>
      </w:r>
    </w:p>
    <w:p>
      <w:pPr>
        <w:spacing w:after="0" w:line="240" w:lineRule="auto"/>
        <w:jc w:val="center"/>
        <w:rPr>
          <w:rFonts w:ascii="Arial" w:hAnsi="Arial" w:cs="Arial"/>
          <w:sz w:val="24"/>
          <w:szCs w:val="24"/>
        </w:rPr>
      </w:pPr>
      <w:r>
        <w:rPr>
          <w:rFonts w:ascii="Arial" w:hAnsi="Arial" w:cs="Arial"/>
          <w:sz w:val="24"/>
          <w:szCs w:val="24"/>
        </w:rPr>
        <w:t>Perjanjian Kinerja Kecamatan Astambul Tahun 2023</w:t>
      </w:r>
    </w:p>
    <w:p>
      <w:pPr>
        <w:spacing w:after="0" w:line="240" w:lineRule="auto"/>
        <w:rPr>
          <w:rFonts w:ascii="Arial" w:hAnsi="Arial" w:cs="Arial"/>
          <w:sz w:val="24"/>
          <w:szCs w:val="24"/>
        </w:rPr>
      </w:pPr>
    </w:p>
    <w:tbl>
      <w:tblPr>
        <w:tblStyle w:val="4"/>
        <w:tblW w:w="11070" w:type="dxa"/>
        <w:tblInd w:w="-612" w:type="dxa"/>
        <w:tblLayout w:type="fixed"/>
        <w:tblCellMar>
          <w:top w:w="0" w:type="dxa"/>
          <w:left w:w="108" w:type="dxa"/>
          <w:bottom w:w="0" w:type="dxa"/>
          <w:right w:w="108" w:type="dxa"/>
        </w:tblCellMar>
      </w:tblPr>
      <w:tblGrid>
        <w:gridCol w:w="1266"/>
        <w:gridCol w:w="2050"/>
        <w:gridCol w:w="1937"/>
        <w:gridCol w:w="867"/>
        <w:gridCol w:w="765"/>
        <w:gridCol w:w="1201"/>
        <w:gridCol w:w="705"/>
        <w:gridCol w:w="1079"/>
        <w:gridCol w:w="1200"/>
      </w:tblGrid>
      <w:tr>
        <w:tblPrEx>
          <w:tblCellMar>
            <w:top w:w="0" w:type="dxa"/>
            <w:left w:w="108" w:type="dxa"/>
            <w:bottom w:w="0" w:type="dxa"/>
            <w:right w:w="108" w:type="dxa"/>
          </w:tblCellMar>
        </w:tblPrEx>
        <w:trPr>
          <w:trHeight w:val="720" w:hRule="atLeast"/>
        </w:trPr>
        <w:tc>
          <w:tcPr>
            <w:tcW w:w="1266"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No</w:t>
            </w:r>
          </w:p>
        </w:tc>
        <w:tc>
          <w:tcPr>
            <w:tcW w:w="205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Sasaran / Program / KegiatanÂ / Sub Kegiatan</w:t>
            </w:r>
          </w:p>
        </w:tc>
        <w:tc>
          <w:tcPr>
            <w:tcW w:w="193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Indikator Kinerja ProgramÂ / Kegiatan / Sub Kegiatan</w:t>
            </w:r>
          </w:p>
        </w:tc>
        <w:tc>
          <w:tcPr>
            <w:tcW w:w="86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rPr>
              <w:t>Satuan</w:t>
            </w:r>
          </w:p>
        </w:tc>
        <w:tc>
          <w:tcPr>
            <w:tcW w:w="765"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 xml:space="preserve">Target Kinerja </w:t>
            </w:r>
          </w:p>
        </w:tc>
        <w:tc>
          <w:tcPr>
            <w:tcW w:w="1201"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Anggaran</w:t>
            </w:r>
          </w:p>
        </w:tc>
        <w:tc>
          <w:tcPr>
            <w:tcW w:w="1784" w:type="dxa"/>
            <w:gridSpan w:val="2"/>
            <w:tcBorders>
              <w:top w:val="single" w:color="auto" w:sz="4" w:space="0"/>
              <w:left w:val="nil"/>
              <w:bottom w:val="single" w:color="auto" w:sz="4" w:space="0"/>
              <w:right w:val="single" w:color="000000" w:sz="4" w:space="0"/>
            </w:tcBorders>
            <w:shd w:val="clear" w:color="auto" w:fill="auto"/>
            <w:vAlign w:val="center"/>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Realisasi Kinerja Pada Triwulan I</w:t>
            </w:r>
          </w:p>
        </w:tc>
        <w:tc>
          <w:tcPr>
            <w:tcW w:w="120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Unit Perangkat Daerah Penanggung Jawab</w:t>
            </w:r>
          </w:p>
        </w:tc>
      </w:tr>
      <w:tr>
        <w:tblPrEx>
          <w:tblCellMar>
            <w:top w:w="0" w:type="dxa"/>
            <w:left w:w="108" w:type="dxa"/>
            <w:bottom w:w="0" w:type="dxa"/>
            <w:right w:w="108" w:type="dxa"/>
          </w:tblCellMar>
        </w:tblPrEx>
        <w:trPr>
          <w:trHeight w:val="540" w:hRule="atLeast"/>
        </w:trPr>
        <w:tc>
          <w:tcPr>
            <w:tcW w:w="1266" w:type="dxa"/>
            <w:vMerge w:val="continue"/>
            <w:tcBorders>
              <w:top w:val="single" w:color="auto" w:sz="4" w:space="0"/>
              <w:left w:val="single" w:color="auto" w:sz="4" w:space="0"/>
              <w:bottom w:val="single" w:color="000000" w:sz="4" w:space="0"/>
              <w:right w:val="single" w:color="auto" w:sz="4" w:space="0"/>
            </w:tcBorders>
            <w:vAlign w:val="center"/>
          </w:tcPr>
          <w:p>
            <w:pPr>
              <w:spacing w:after="0" w:line="240" w:lineRule="auto"/>
              <w:rPr>
                <w:rFonts w:ascii="Cambria" w:hAnsi="Cambria" w:eastAsia="Times New Roman" w:cs="Calibri"/>
                <w:b/>
                <w:bCs/>
                <w:color w:val="000000"/>
                <w:sz w:val="16"/>
                <w:szCs w:val="16"/>
                <w:lang w:val="en-US"/>
              </w:rPr>
            </w:pPr>
          </w:p>
        </w:tc>
        <w:tc>
          <w:tcPr>
            <w:tcW w:w="2050" w:type="dxa"/>
            <w:vMerge w:val="continue"/>
            <w:tcBorders>
              <w:top w:val="single" w:color="auto" w:sz="4" w:space="0"/>
              <w:left w:val="single" w:color="auto" w:sz="4" w:space="0"/>
              <w:bottom w:val="single" w:color="000000" w:sz="4" w:space="0"/>
              <w:right w:val="single" w:color="auto" w:sz="4" w:space="0"/>
            </w:tcBorders>
            <w:vAlign w:val="center"/>
          </w:tcPr>
          <w:p>
            <w:pPr>
              <w:spacing w:after="0" w:line="240" w:lineRule="auto"/>
              <w:rPr>
                <w:rFonts w:ascii="Cambria" w:hAnsi="Cambria" w:eastAsia="Times New Roman" w:cs="Calibri"/>
                <w:b/>
                <w:bCs/>
                <w:color w:val="000000"/>
                <w:sz w:val="16"/>
                <w:szCs w:val="16"/>
                <w:lang w:val="en-US"/>
              </w:rPr>
            </w:pPr>
          </w:p>
        </w:tc>
        <w:tc>
          <w:tcPr>
            <w:tcW w:w="1937" w:type="dxa"/>
            <w:vMerge w:val="continue"/>
            <w:tcBorders>
              <w:top w:val="single" w:color="auto" w:sz="4" w:space="0"/>
              <w:left w:val="single" w:color="auto" w:sz="4" w:space="0"/>
              <w:bottom w:val="single" w:color="000000" w:sz="4" w:space="0"/>
              <w:right w:val="single" w:color="auto" w:sz="4" w:space="0"/>
            </w:tcBorders>
            <w:vAlign w:val="center"/>
          </w:tcPr>
          <w:p>
            <w:pPr>
              <w:spacing w:after="0" w:line="240" w:lineRule="auto"/>
              <w:rPr>
                <w:rFonts w:ascii="Cambria" w:hAnsi="Cambria" w:eastAsia="Times New Roman" w:cs="Calibri"/>
                <w:b/>
                <w:bCs/>
                <w:color w:val="000000"/>
                <w:sz w:val="16"/>
                <w:szCs w:val="16"/>
                <w:lang w:val="en-US"/>
              </w:rPr>
            </w:pPr>
          </w:p>
        </w:tc>
        <w:tc>
          <w:tcPr>
            <w:tcW w:w="867" w:type="dxa"/>
            <w:vMerge w:val="continue"/>
            <w:tcBorders>
              <w:top w:val="single" w:color="auto" w:sz="4" w:space="0"/>
              <w:left w:val="single" w:color="auto" w:sz="4" w:space="0"/>
              <w:bottom w:val="single" w:color="000000" w:sz="4" w:space="0"/>
              <w:right w:val="single" w:color="auto" w:sz="4" w:space="0"/>
            </w:tcBorders>
            <w:vAlign w:val="center"/>
          </w:tcPr>
          <w:p>
            <w:pPr>
              <w:spacing w:after="0" w:line="240" w:lineRule="auto"/>
              <w:rPr>
                <w:rFonts w:ascii="Cambria" w:hAnsi="Cambria" w:eastAsia="Times New Roman" w:cs="Calibri"/>
                <w:b/>
                <w:bCs/>
                <w:color w:val="000000"/>
                <w:sz w:val="16"/>
                <w:szCs w:val="16"/>
                <w:lang w:val="en-US"/>
              </w:rPr>
            </w:pPr>
          </w:p>
        </w:tc>
        <w:tc>
          <w:tcPr>
            <w:tcW w:w="765" w:type="dxa"/>
            <w:vMerge w:val="continue"/>
            <w:tcBorders>
              <w:top w:val="single" w:color="auto" w:sz="4" w:space="0"/>
              <w:left w:val="single" w:color="auto" w:sz="4" w:space="0"/>
              <w:bottom w:val="single" w:color="000000" w:sz="4" w:space="0"/>
              <w:right w:val="single" w:color="auto" w:sz="4" w:space="0"/>
            </w:tcBorders>
            <w:vAlign w:val="center"/>
          </w:tcPr>
          <w:p>
            <w:pPr>
              <w:spacing w:after="0" w:line="240" w:lineRule="auto"/>
              <w:rPr>
                <w:rFonts w:ascii="Cambria" w:hAnsi="Cambria" w:eastAsia="Times New Roman" w:cs="Calibri"/>
                <w:b/>
                <w:bCs/>
                <w:color w:val="000000"/>
                <w:sz w:val="16"/>
                <w:szCs w:val="16"/>
                <w:lang w:val="en-US"/>
              </w:rPr>
            </w:pPr>
          </w:p>
        </w:tc>
        <w:tc>
          <w:tcPr>
            <w:tcW w:w="1201" w:type="dxa"/>
            <w:vMerge w:val="continue"/>
            <w:tcBorders>
              <w:top w:val="single" w:color="auto" w:sz="4" w:space="0"/>
              <w:left w:val="single" w:color="auto" w:sz="4" w:space="0"/>
              <w:bottom w:val="single" w:color="000000" w:sz="4" w:space="0"/>
              <w:right w:val="single" w:color="auto" w:sz="4" w:space="0"/>
            </w:tcBorders>
            <w:vAlign w:val="center"/>
          </w:tcPr>
          <w:p>
            <w:pPr>
              <w:spacing w:after="0" w:line="240" w:lineRule="auto"/>
              <w:rPr>
                <w:rFonts w:ascii="Cambria" w:hAnsi="Cambria" w:eastAsia="Times New Roman" w:cs="Calibri"/>
                <w:b/>
                <w:bCs/>
                <w:color w:val="000000"/>
                <w:sz w:val="16"/>
                <w:szCs w:val="16"/>
                <w:lang w:val="en-US"/>
              </w:rPr>
            </w:pPr>
          </w:p>
        </w:tc>
        <w:tc>
          <w:tcPr>
            <w:tcW w:w="705"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Target</w:t>
            </w:r>
          </w:p>
        </w:tc>
        <w:tc>
          <w:tcPr>
            <w:tcW w:w="107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Anggaran</w:t>
            </w:r>
          </w:p>
        </w:tc>
        <w:tc>
          <w:tcPr>
            <w:tcW w:w="1200" w:type="dxa"/>
            <w:vMerge w:val="continue"/>
            <w:tcBorders>
              <w:top w:val="single" w:color="auto" w:sz="4" w:space="0"/>
              <w:left w:val="single" w:color="auto" w:sz="4" w:space="0"/>
              <w:bottom w:val="single" w:color="000000" w:sz="4" w:space="0"/>
              <w:right w:val="single" w:color="auto" w:sz="4" w:space="0"/>
            </w:tcBorders>
            <w:vAlign w:val="center"/>
          </w:tcPr>
          <w:p>
            <w:pPr>
              <w:spacing w:after="0" w:line="240" w:lineRule="auto"/>
              <w:rPr>
                <w:rFonts w:ascii="Cambria" w:hAnsi="Cambria" w:eastAsia="Times New Roman" w:cs="Calibri"/>
                <w:b/>
                <w:bCs/>
                <w:color w:val="000000"/>
                <w:sz w:val="16"/>
                <w:szCs w:val="16"/>
                <w:lang w:val="en-US"/>
              </w:rPr>
            </w:pPr>
          </w:p>
        </w:tc>
      </w:tr>
      <w:tr>
        <w:tblPrEx>
          <w:tblCellMar>
            <w:top w:w="0" w:type="dxa"/>
            <w:left w:w="108" w:type="dxa"/>
            <w:bottom w:w="0" w:type="dxa"/>
            <w:right w:w="108" w:type="dxa"/>
          </w:tblCellMar>
        </w:tblPrEx>
        <w:trPr>
          <w:trHeight w:val="30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1</w:t>
            </w:r>
          </w:p>
        </w:tc>
        <w:tc>
          <w:tcPr>
            <w:tcW w:w="205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2</w:t>
            </w:r>
          </w:p>
        </w:tc>
        <w:tc>
          <w:tcPr>
            <w:tcW w:w="193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3</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4</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5</w:t>
            </w:r>
          </w:p>
        </w:tc>
        <w:tc>
          <w:tcPr>
            <w:tcW w:w="1201"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6</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7</w:t>
            </w:r>
          </w:p>
        </w:tc>
        <w:tc>
          <w:tcPr>
            <w:tcW w:w="1079"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8</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9</w:t>
            </w:r>
          </w:p>
        </w:tc>
      </w:tr>
      <w:tr>
        <w:tblPrEx>
          <w:tblCellMar>
            <w:top w:w="0" w:type="dxa"/>
            <w:left w:w="108" w:type="dxa"/>
            <w:bottom w:w="0" w:type="dxa"/>
            <w:right w:w="108" w:type="dxa"/>
          </w:tblCellMar>
        </w:tblPrEx>
        <w:trPr>
          <w:trHeight w:val="29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 </w:t>
            </w:r>
          </w:p>
        </w:tc>
        <w:tc>
          <w:tcPr>
            <w:tcW w:w="4854" w:type="dxa"/>
            <w:gridSpan w:val="3"/>
            <w:tcBorders>
              <w:top w:val="single" w:color="auto" w:sz="4" w:space="0"/>
              <w:left w:val="nil"/>
              <w:bottom w:val="single" w:color="auto" w:sz="4" w:space="0"/>
              <w:right w:val="single" w:color="auto" w:sz="4" w:space="0"/>
            </w:tcBorders>
            <w:shd w:val="clear" w:color="auto" w:fill="auto"/>
          </w:tcPr>
          <w:p>
            <w:pPr>
              <w:spacing w:after="0" w:line="240" w:lineRule="auto"/>
              <w:rPr>
                <w:rFonts w:ascii="Cambria" w:hAnsi="Cambria" w:eastAsia="Times New Roman" w:cs="Calibri"/>
                <w:b/>
                <w:bCs/>
                <w:color w:val="000000"/>
                <w:sz w:val="16"/>
                <w:szCs w:val="16"/>
                <w:lang w:val="en-US"/>
              </w:rPr>
            </w:pPr>
            <w:r>
              <w:rPr>
                <w:rFonts w:ascii="Cambria" w:hAnsi="Cambria" w:eastAsia="Times New Roman" w:cs="Calibri"/>
                <w:b/>
                <w:bCs/>
                <w:color w:val="000000"/>
                <w:sz w:val="16"/>
                <w:szCs w:val="16"/>
                <w:lang w:val="en-US"/>
              </w:rPr>
              <w:t>Meningkatnya Penyelenggaraan Pemerintahan di Kecamatan</w:t>
            </w:r>
          </w:p>
        </w:tc>
        <w:tc>
          <w:tcPr>
            <w:tcW w:w="4950" w:type="dxa"/>
            <w:gridSpan w:val="5"/>
            <w:tcBorders>
              <w:top w:val="single" w:color="auto" w:sz="4" w:space="0"/>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 </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PROGRAM PENUNJANG URUSAN PEMERINTAHAN DAERAH KABUPATEN/KOTA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Indeks Kepatuhan dan Kinerja Intern (IKKI) Kecamatan Astambul</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Indek</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hint="default" w:ascii="Cambria" w:hAnsi="Cambria" w:eastAsia="Times New Roman" w:cs="Calibri"/>
                <w:color w:val="000000"/>
                <w:sz w:val="16"/>
                <w:szCs w:val="16"/>
                <w:lang w:val="id-ID"/>
              </w:rPr>
            </w:pPr>
            <w:r>
              <w:rPr>
                <w:rFonts w:ascii="Cambria" w:hAnsi="Cambria" w:eastAsia="Times New Roman" w:cs="Calibri"/>
                <w:color w:val="000000"/>
                <w:sz w:val="16"/>
                <w:szCs w:val="16"/>
                <w:lang w:val="en-US"/>
              </w:rPr>
              <w:t>7</w:t>
            </w:r>
            <w:r>
              <w:rPr>
                <w:rFonts w:hint="default" w:ascii="Cambria" w:hAnsi="Cambria" w:eastAsia="Times New Roman" w:cs="Calibri"/>
                <w:color w:val="000000"/>
                <w:sz w:val="16"/>
                <w:szCs w:val="16"/>
                <w:lang w:val="id-ID"/>
              </w:rPr>
              <w:t>4</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2.282.840.851</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15</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382.750.341</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Sekretaris Camat</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Perencanaan, Penganggaran, dan Evaluasi Kinerja Perangkat Daerah</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Dokumen Perencanaan Pengganggaran dan Evaluasi SKPD</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1.777.200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993</w:t>
            </w:r>
          </w:p>
        </w:tc>
        <w:tc>
          <w:tcPr>
            <w:tcW w:w="1200" w:type="dxa"/>
            <w:tcBorders>
              <w:top w:val="nil"/>
              <w:left w:val="nil"/>
              <w:bottom w:val="single" w:color="auto" w:sz="4" w:space="0"/>
              <w:right w:val="single" w:color="auto" w:sz="4" w:space="0"/>
            </w:tcBorders>
            <w:shd w:val="clear" w:color="000000" w:fill="FFFFFF"/>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rPr>
              <w:t>Kasubbag Perenkeu</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7.01.01.2.01.01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Penyusunan Dokumen Perencanaan Perangkat Daerah</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Dokumen Perencanaan Perangkat Daerah</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Dokumen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13</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242</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13</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242</w:t>
            </w:r>
          </w:p>
        </w:tc>
        <w:tc>
          <w:tcPr>
            <w:tcW w:w="1200" w:type="dxa"/>
            <w:tcBorders>
              <w:top w:val="nil"/>
              <w:left w:val="nil"/>
              <w:bottom w:val="single" w:color="auto" w:sz="4" w:space="0"/>
              <w:right w:val="single" w:color="auto" w:sz="4" w:space="0"/>
            </w:tcBorders>
            <w:shd w:val="clear" w:color="000000" w:fill="FFFFFF"/>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Perenkeu</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7.01.01.2.01.07</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Evaluasi Kinerja Perangkat Daerah</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Laporan Evaluasi Kinerja Perangkat Daerah Hasil Koordinasi Penyusunan Dokumen DPA- SKPD"</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Laporan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22</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1.535.200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11</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751</w:t>
            </w:r>
          </w:p>
        </w:tc>
        <w:tc>
          <w:tcPr>
            <w:tcW w:w="1200" w:type="dxa"/>
            <w:tcBorders>
              <w:top w:val="nil"/>
              <w:left w:val="nil"/>
              <w:bottom w:val="single" w:color="auto" w:sz="4" w:space="0"/>
              <w:right w:val="single" w:color="auto" w:sz="4" w:space="0"/>
            </w:tcBorders>
            <w:shd w:val="clear" w:color="000000" w:fill="FFFFFF"/>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Perenkeu</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7.01.01.2.02</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Administrasi Keuangan Perangkat Daerah</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Administrasi Keuangan Perangkat Daerah</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1.890.410.851</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313.739.149</w:t>
            </w:r>
          </w:p>
        </w:tc>
        <w:tc>
          <w:tcPr>
            <w:tcW w:w="1200" w:type="dxa"/>
            <w:tcBorders>
              <w:top w:val="nil"/>
              <w:left w:val="nil"/>
              <w:bottom w:val="single" w:color="auto" w:sz="4" w:space="0"/>
              <w:right w:val="single" w:color="auto" w:sz="4" w:space="0"/>
            </w:tcBorders>
            <w:shd w:val="clear" w:color="000000" w:fill="FFFFFF"/>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Perenkeu</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7.01.01.2.02.01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Penyediaan Gaji dan Tunjangan ASN</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Orang yang Menerima Gaji dan Tunjangan ASN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Orang/Bulan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15</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1.848.770.851</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3</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303.929.149</w:t>
            </w:r>
          </w:p>
        </w:tc>
        <w:tc>
          <w:tcPr>
            <w:tcW w:w="1200" w:type="dxa"/>
            <w:tcBorders>
              <w:top w:val="nil"/>
              <w:left w:val="nil"/>
              <w:bottom w:val="single" w:color="auto" w:sz="4" w:space="0"/>
              <w:right w:val="single" w:color="auto" w:sz="4" w:space="0"/>
            </w:tcBorders>
            <w:shd w:val="clear" w:color="000000" w:fill="FFFFFF"/>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Perenkeu</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7.01.01.2.02.03</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Pelaksanaan Penatausahaan dan Pengujian/Verifikasi Keuangan SKPD</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Dokumen Penatausahaan dan Pengujian/Verifikasi Keuangan SKPD</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Dokumen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41.640.000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9.810.000</w:t>
            </w:r>
          </w:p>
        </w:tc>
        <w:tc>
          <w:tcPr>
            <w:tcW w:w="1200" w:type="dxa"/>
            <w:tcBorders>
              <w:top w:val="nil"/>
              <w:left w:val="nil"/>
              <w:bottom w:val="single" w:color="auto" w:sz="4" w:space="0"/>
              <w:right w:val="single" w:color="auto" w:sz="4" w:space="0"/>
            </w:tcBorders>
            <w:shd w:val="clear" w:color="000000" w:fill="FFFFFF"/>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Perenkeu</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7.01.01.2.02.05</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Koordinasi dan Penyusunan Laporan Keuangan Akhir Tahun SKPD</w:t>
            </w:r>
          </w:p>
        </w:tc>
        <w:tc>
          <w:tcPr>
            <w:tcW w:w="1937" w:type="dxa"/>
            <w:tcBorders>
              <w:top w:val="nil"/>
              <w:left w:val="nil"/>
              <w:bottom w:val="single" w:color="auto" w:sz="4" w:space="0"/>
              <w:right w:val="single" w:color="auto" w:sz="4" w:space="0"/>
            </w:tcBorders>
            <w:shd w:val="clear" w:color="auto" w:fill="auto"/>
            <w:vAlign w:val="bottom"/>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 </w:t>
            </w:r>
          </w:p>
        </w:tc>
        <w:tc>
          <w:tcPr>
            <w:tcW w:w="867" w:type="dxa"/>
            <w:tcBorders>
              <w:top w:val="nil"/>
              <w:left w:val="nil"/>
              <w:bottom w:val="single" w:color="auto" w:sz="4" w:space="0"/>
              <w:right w:val="single" w:color="auto" w:sz="4" w:space="0"/>
            </w:tcBorders>
            <w:shd w:val="clear" w:color="auto" w:fill="auto"/>
            <w:vAlign w:val="bottom"/>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 </w:t>
            </w:r>
          </w:p>
        </w:tc>
        <w:tc>
          <w:tcPr>
            <w:tcW w:w="765" w:type="dxa"/>
            <w:tcBorders>
              <w:top w:val="nil"/>
              <w:left w:val="nil"/>
              <w:bottom w:val="single" w:color="auto" w:sz="4" w:space="0"/>
              <w:right w:val="single" w:color="auto" w:sz="4" w:space="0"/>
            </w:tcBorders>
            <w:shd w:val="clear" w:color="auto" w:fill="auto"/>
            <w:vAlign w:val="bottom"/>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 </w:t>
            </w:r>
          </w:p>
        </w:tc>
        <w:tc>
          <w:tcPr>
            <w:tcW w:w="1201" w:type="dxa"/>
            <w:tcBorders>
              <w:top w:val="nil"/>
              <w:left w:val="nil"/>
              <w:bottom w:val="single" w:color="auto" w:sz="4" w:space="0"/>
              <w:right w:val="single" w:color="auto" w:sz="4" w:space="0"/>
            </w:tcBorders>
            <w:shd w:val="clear" w:color="auto" w:fill="auto"/>
            <w:vAlign w:val="bottom"/>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 </w:t>
            </w:r>
          </w:p>
        </w:tc>
        <w:tc>
          <w:tcPr>
            <w:tcW w:w="705" w:type="dxa"/>
            <w:tcBorders>
              <w:top w:val="nil"/>
              <w:left w:val="nil"/>
              <w:bottom w:val="single" w:color="auto" w:sz="4" w:space="0"/>
              <w:right w:val="single" w:color="auto" w:sz="4" w:space="0"/>
            </w:tcBorders>
            <w:shd w:val="clear" w:color="auto" w:fill="auto"/>
            <w:vAlign w:val="bottom"/>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 </w:t>
            </w:r>
          </w:p>
        </w:tc>
        <w:tc>
          <w:tcPr>
            <w:tcW w:w="1079" w:type="dxa"/>
            <w:tcBorders>
              <w:top w:val="nil"/>
              <w:left w:val="nil"/>
              <w:bottom w:val="single" w:color="auto" w:sz="4" w:space="0"/>
              <w:right w:val="single" w:color="auto" w:sz="4" w:space="0"/>
            </w:tcBorders>
            <w:shd w:val="clear" w:color="auto" w:fill="auto"/>
            <w:vAlign w:val="bottom"/>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 </w:t>
            </w:r>
          </w:p>
        </w:tc>
        <w:tc>
          <w:tcPr>
            <w:tcW w:w="1200" w:type="dxa"/>
            <w:tcBorders>
              <w:top w:val="nil"/>
              <w:left w:val="nil"/>
              <w:bottom w:val="single" w:color="auto" w:sz="4" w:space="0"/>
              <w:right w:val="single" w:color="auto" w:sz="4" w:space="0"/>
            </w:tcBorders>
            <w:shd w:val="clear" w:color="000000" w:fill="FFFFFF"/>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Perenkeu</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7.01.01.2.05</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Administrasi Kepegawaian Perangkat Daerah</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Administrasi Kepegawaian yang terpenuhi</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690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rPr>
              <w:t>Kasubbag Umpeg</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7.01.01.2.05.05</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Monitoring, Evaluasi, dan Penilaian Kinerja Pegawai</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Dokumen Monitoring, Evaluasi, dan Penilaian Kinerja Pegawai</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Dokumen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690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7.01.01.2.06</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Administrasi Umum Perangkat Daerah</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Administrasi Umum Perangkat Daerah</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86.653.900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25</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14.193.230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7.01.01.2.06.01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Penyediaan Komponen Instalasi Listrik/Penerangan Bangunan Kantor</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Paket Komponen Instalasi Listrik/Penerangan Bangunan Kantor yang Disediakan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Paket</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597</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171</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7.01.01.2.06.02</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Penyediaan Peralatan dan Perlengkapan Kantor</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Paket Peralatan dan Perlengkapan Kantor yang Disediakan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Paket</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45</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1.102.000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327</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7.01.01.2.06.04</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Penyediaan Bahan Logistik Kantor</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Paket Bahan Logistik Kantor yang disediakan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Paket</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13.240.900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2.985.500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7.01.01.2.06.05</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Penyediaan Barang Cetakan dan Penggandaan</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Paket Barang Cetakan dan Penggandaan yang Disediakan"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Paket</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2.714.000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7.01.01.2.06.09</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Penyelenggaraan Rapat Koordinasi dan Konsultasi SKPD</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Laporan Penyelenggaraan Rapat Koordinasi dan Konsultasi SKPD</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Laporan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3</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69.000.000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10.609.730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7.01.01.2.07</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Pengadaan Barang Milik Daerah Penunjang Urusan Pemerintah Daerah</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Pengadaan BMD Penunjang Urusan Daerah</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22.247.000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7.01.01.2.07.06</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Pengadaan Peralatan dan Mesin Lainnya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Unit Peralatan dan Mesin Lainnya yang Disediakan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Unit</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22.247.000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7.01.01.2.08</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Penyediaan Jasa Penunjang Urusan Pemerintahan Daerah</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Jasa Penunjang Urusan Pemerintah Daerah</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226.974.000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44.479.962</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7.01.01.2.08.01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Penyediaan Jasa Surat Menyurat</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Laporan Penyediaan Jasa Surat Menyurat</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Laporan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500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7.01.01.2.08.02</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Penyediaan Jasa Komunikasi, Sumber Daya Air dan Listrik</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Laporan Penyediaan Jasa Komunikasi, Sumber Daya Air dan Listrik yang Disediakan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Laporan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12</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41.224.000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3</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2.465.617</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7.01.01.2.08.04</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Penyediaan Jasa Pelayanan Umum Kantor</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Laporan Penyediaan Jasa Pelayanan Umum Kantor yang Disediakan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Laporan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12</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184.750.000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3</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41.514.345</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7.01.01.2.09</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Pemeliharaan Barang Milik Daerah Penunjang Urusan Pemerintahan Daerah</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Pemeliharaan BMD Penunjang Urusan Perangkat Daerah</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54.087.900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9.345.000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84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7.01.01.2.09.02</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Penyediaan Jasa Pemeliharaan, Biaya Pemeliharaan, Pajak dan Perizinan Kendaraan Dinas Operasional atau Lapangan</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Kendaraan Dinas Operasional atau Lapangan yang Dipelihara dan dibayarkan Pajak dan Perizinannya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Unit</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43.733.900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9.345.000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7.01.01.2.09.06</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Pemeliharaan Peralatan dan Mesin Lainnya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Peralatan dan Mesin Lainnya yang dipelihara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Unit</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8.000.000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7.01.01.2.09.09</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Pemeliharaan/Rehabilitasi Gedung Kantor dan Bangunan Lainnya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Gedung Kantor dan Bangunan Lainnya yang Dipelihara/Direhabilitasi</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Unit</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2.354.000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Kasubbag Umpeg</w:t>
            </w:r>
          </w:p>
        </w:tc>
      </w:tr>
      <w:tr>
        <w:tblPrEx>
          <w:tblCellMar>
            <w:top w:w="0" w:type="dxa"/>
            <w:left w:w="108" w:type="dxa"/>
            <w:bottom w:w="0" w:type="dxa"/>
            <w:right w:w="108" w:type="dxa"/>
          </w:tblCellMar>
        </w:tblPrEx>
        <w:trPr>
          <w:trHeight w:val="96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7.01.02</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PROGRAM PENYELENGGARAAN PEMERINTAHAN DAN PELAYANAN PUBLIK</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Fasilitasi Kewenangan Pemerlu Pelayanan Kesejahteraan Sosial dan Kebencanaan Kecamatan Yang Terlaksana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18.170.000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25</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4.275.000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Kecamatan Astambul</w:t>
            </w:r>
          </w:p>
        </w:tc>
      </w:tr>
      <w:tr>
        <w:tblPrEx>
          <w:tblCellMar>
            <w:top w:w="0" w:type="dxa"/>
            <w:left w:w="108" w:type="dxa"/>
            <w:bottom w:w="0" w:type="dxa"/>
            <w:right w:w="108" w:type="dxa"/>
          </w:tblCellMar>
        </w:tblPrEx>
        <w:trPr>
          <w:trHeight w:val="107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7.01.02.2.04</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Pelaksanaan Urusan Pemerintahan yang Dilimpahkan kepada Camat</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Penyelenggaraan Urusan Pemerintahan yang tidak Dilaksanakan oleh Unit Kerja Perangkat Daerah yang ada di Kecamatan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18.170.000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4.275.000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Kessos</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7.01.02.2.04.03</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Pelaksanaan Urusan Pemerintahan yang Terkait dengan Kewenangan Lain yang Dilimpahkan</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Laporan Pelaksanaan Kewenangan Lain yang Dilimpahkan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Laporan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5</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18.170.000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4.275.000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Kessos</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7.01.03</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PROGRAM PEMBERDAYAAN MASYARAKAT DESA DAN KELURAHAN</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Koordinasi dan Fasilitasi Kegiatan Pemberdayaan Masyarakat di Kecamatan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57.874.000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25</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23.929.000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PM</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7.01.03.2.01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Koordinasi Kegiatan Pemberdayaan Desa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Koordinasi Pemberdayaan Masyarakat Desa yang Terlaksana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57.874.000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25</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23.929.000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PM</w:t>
            </w:r>
          </w:p>
        </w:tc>
      </w:tr>
      <w:tr>
        <w:tblPrEx>
          <w:tblCellMar>
            <w:top w:w="0" w:type="dxa"/>
            <w:left w:w="108" w:type="dxa"/>
            <w:bottom w:w="0" w:type="dxa"/>
            <w:right w:w="108" w:type="dxa"/>
          </w:tblCellMar>
        </w:tblPrEx>
        <w:trPr>
          <w:trHeight w:val="84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7.01.03.2.01.01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Peningkatan Partisipasi Masyarakat dalam Forum Musyawarah Perencanaan Pembangunan di Desa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Lembaga Kemasyarakatan yang Berpartisipasi dalam Forum Musyawarah Perencanaan Pembangunan di Desa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Lembaga</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17.294.000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3</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13.817.000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PM</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7.01.03.2.01.03</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Peningkatan Efektifitas Kegiatan Pemberdayaan Masyarakat di Wilayah Kecamatan</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Laporan Peningkatan Efektivitas Kegiatan Pemberdayaan Masyarakat di Wilayah Kecamatan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Laporan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40.580.000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10.112.000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PM</w:t>
            </w:r>
          </w:p>
        </w:tc>
      </w:tr>
      <w:tr>
        <w:tblPrEx>
          <w:tblCellMar>
            <w:top w:w="0" w:type="dxa"/>
            <w:left w:w="108" w:type="dxa"/>
            <w:bottom w:w="0" w:type="dxa"/>
            <w:right w:w="108" w:type="dxa"/>
          </w:tblCellMar>
        </w:tblPrEx>
        <w:trPr>
          <w:trHeight w:val="105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7.01.04</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PROGRAM KOORDINASI KETENTRAMAN DAN KETERTIBAN UMUM</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Koordinasi dan Fasilitasi Penyelenggaraan ketentraman dan ketertiban umum serta perlindungan masyarakat di kecamatan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12.484.000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1.718.000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Trantib</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7.01.04.2.01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Koordinasi Upaya Penyelenggaraan Ketenteraman dan Ketertiban Umum</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Penyelenggaraan Ketenteraman dan Ketertiban Umum di Kecamatan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9.884.000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1.718.000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Trantib</w:t>
            </w:r>
          </w:p>
        </w:tc>
      </w:tr>
      <w:tr>
        <w:tblPrEx>
          <w:tblCellMar>
            <w:top w:w="0" w:type="dxa"/>
            <w:left w:w="108" w:type="dxa"/>
            <w:bottom w:w="0" w:type="dxa"/>
            <w:right w:w="108" w:type="dxa"/>
          </w:tblCellMar>
        </w:tblPrEx>
        <w:trPr>
          <w:trHeight w:val="105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7.01.04.2.01.01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Sinergitas dengan Kepolisian Negara Republik Indonesia, Tentara Nasional Indonesia dan Instansi Vertikal di Wilayah Kecamatan</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Laporan Hasil Sinergitas dengan Kepolisian Negara Republik Indonesia, Tentara Nasional Indonesia dan Instansi Vertikal di Wilayah Kecamatan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Laporan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8.269.000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1.718.000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Trantib</w:t>
            </w:r>
          </w:p>
        </w:tc>
      </w:tr>
      <w:tr>
        <w:tblPrEx>
          <w:tblCellMar>
            <w:top w:w="0" w:type="dxa"/>
            <w:left w:w="108" w:type="dxa"/>
            <w:bottom w:w="0" w:type="dxa"/>
            <w:right w:w="108" w:type="dxa"/>
          </w:tblCellMar>
        </w:tblPrEx>
        <w:trPr>
          <w:trHeight w:val="84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7.01.04.2.01.02</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Harmonisasi Hubungan dengan Tokoh Agama dan Tokoh Masyarakat</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Laporan Pelaksanaan Harmonisasi Hubungan dengan Tokoh Agama dan Tokoh Masyarakat</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Laporan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1.615.000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Trantib</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7.01.04.2.02</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Koordinasi Penerapan dan Penegakan Peraturan Daerah dan Peraturan Kepala Daerah</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Koordinasi Penerapan dan Penegakkan Peraturan Daerah Yang Terfasilitasi</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2.600.000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Trantib</w:t>
            </w:r>
          </w:p>
        </w:tc>
      </w:tr>
      <w:tr>
        <w:tblPrEx>
          <w:tblCellMar>
            <w:top w:w="0" w:type="dxa"/>
            <w:left w:w="108" w:type="dxa"/>
            <w:bottom w:w="0" w:type="dxa"/>
            <w:right w:w="108" w:type="dxa"/>
          </w:tblCellMar>
        </w:tblPrEx>
        <w:trPr>
          <w:trHeight w:val="147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7.01.04.2.02.01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Koordinasi/Sinergi dengan Perangkat Daerah yang Tugas dan Fungsinya di Bidang Penegakan Peraturan Perundang-Undangan dan/atau Kepolisian Negara Republik Indonesia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Laporan Koordinasi/Sinergi dengan Perangkat Daerah yang Tugas dan Fungsinya di Bidang Penegakan Peraturan Perundang- Undangan dan/atau Kepolisian Negara Republik Indonesia"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Laporan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2.600.000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Trantib</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7.01.05</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PROGRAM PENYELENGGARAAN URUSAN PEMERINTAHAN UMUM</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Penyelenggaraan Urusan Pemerintahan Umum</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92.752.000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17.150.000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Pem</w:t>
            </w:r>
          </w:p>
        </w:tc>
      </w:tr>
      <w:tr>
        <w:tblPrEx>
          <w:tblCellMar>
            <w:top w:w="0" w:type="dxa"/>
            <w:left w:w="108" w:type="dxa"/>
            <w:bottom w:w="0" w:type="dxa"/>
            <w:right w:w="108" w:type="dxa"/>
          </w:tblCellMar>
        </w:tblPrEx>
        <w:trPr>
          <w:trHeight w:val="84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7.01.05.2.01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Penyelenggaraan Urusan Pemerintahan Umum Sesuai Penugasan Kepala Daerah</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Penyelenggaraan Urusan Pemerintahan Umum sesuai Penugasan Kepala Daerah yang Terfasilitasi</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92.752.000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25</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17.150.000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Pem</w:t>
            </w:r>
          </w:p>
        </w:tc>
      </w:tr>
      <w:tr>
        <w:tblPrEx>
          <w:tblCellMar>
            <w:top w:w="0" w:type="dxa"/>
            <w:left w:w="108" w:type="dxa"/>
            <w:bottom w:w="0" w:type="dxa"/>
            <w:right w:w="108" w:type="dxa"/>
          </w:tblCellMar>
        </w:tblPrEx>
        <w:trPr>
          <w:trHeight w:val="231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7.01.05.2.01.01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Pembinaan Wawasan Kebangsaan dan Ketahanan Nasional dalam rangka Memantapkan Pengamalan Pancasila, Pelaksanaan Undang-Undang Dasar Negara Republik Indonesia Tahun 1945, Pelestarian Bhinneka Tunggal Ika serta Pemertahanan dan Pemeliharaan Keutuhan Negara Kesatuan Republik Indonesia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Orang yang Mengikuti Pembinaan Wawasan Kebangsaan dan Ketahanan Nasional dalam rangka Memantapkan Pengamalan Pancasila, Pelaksanaan Undang-Undang Dasar Negara Republik Indonesia Tahun 1945, Pelestarian Bhinneka Tunggal Ika serta Pemertahanan dan Pemeliharaan Keutuhan Negara Kesatuan Republik Indonesia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Orang</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23.575.000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Pem</w:t>
            </w:r>
          </w:p>
        </w:tc>
      </w:tr>
      <w:tr>
        <w:tblPrEx>
          <w:tblCellMar>
            <w:top w:w="0" w:type="dxa"/>
            <w:left w:w="108" w:type="dxa"/>
            <w:bottom w:w="0" w:type="dxa"/>
            <w:right w:w="108" w:type="dxa"/>
          </w:tblCellMar>
        </w:tblPrEx>
        <w:trPr>
          <w:trHeight w:val="105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7.01.05.2.01.07</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Pelaksanaan Semua Urusan Pemerintahan yang Bukan Merupakan Kewenangan Daerah dan Tidak Dilaksanakan oleh Instansi Vertikal</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Dokumen Semua Urusan Pemerintahan yang Bukan Merupakan Kewenangan Daerah dan Tidak Dilaksanakan oleh Instansi Vertikal</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Dokumen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40.800.000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10.100.000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Kessos</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7.01.05.2.01.08</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Pelaksanaan Tugas Forum Koordinasi Pimpinan di Kecamatan</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Terselenggaranya Forum Koordinasi Pimpinan di Kecamatan</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Kegiatan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12</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28.377.000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3</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7.050.000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Trantib</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7.01.06</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PROGRAM PEMBINAAN DAN PENGAWASAN PEMERINTAHAN DESA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fasilitasi pembinaan dan pengawasan pemerintahan desa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10.350.000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25</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2.850.000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Pem</w:t>
            </w:r>
          </w:p>
        </w:tc>
      </w:tr>
      <w:tr>
        <w:tblPrEx>
          <w:tblCellMar>
            <w:top w:w="0" w:type="dxa"/>
            <w:left w:w="108" w:type="dxa"/>
            <w:bottom w:w="0" w:type="dxa"/>
            <w:right w:w="108" w:type="dxa"/>
          </w:tblCellMar>
        </w:tblPrEx>
        <w:trPr>
          <w:trHeight w:val="105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7.01.06.2.01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Fasilitasi, Rekomendasi dan Koordinasi Pembinaan dan Pengawasan Pemerintahan Desa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Persentase Kegiatan Fasilitasi, Rekomendasi dan Koordinasi Pembinaan dan Pengawasan Pemerintahan Desa yang Terlaksana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Persen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100</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10.350.000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25</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2.850.000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Pem</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7.01.06.2.01.01</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Fasilitasi Penyusunan Peraturan Desa dan Peraturan Kepala Desa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Kegiatan Fasilitasi Penyusunan Peraturan Desa dan Peraturan Kepala Desa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Dokumen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1.750.000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1.750.000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Pem</w:t>
            </w:r>
          </w:p>
        </w:tc>
      </w:tr>
      <w:tr>
        <w:tblPrEx>
          <w:tblCellMar>
            <w:top w:w="0" w:type="dxa"/>
            <w:left w:w="108" w:type="dxa"/>
            <w:bottom w:w="0" w:type="dxa"/>
            <w:right w:w="108" w:type="dxa"/>
          </w:tblCellMar>
        </w:tblPrEx>
        <w:trPr>
          <w:trHeight w:val="84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7.01.06.2.01.03</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Fasilitasi Pengelolaan Keuangan Desa dan Pendayagunaan Aset Desa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Dokumen yang Difasilitasi dalam rangka Pengelolaan Keuangan Desa dan Pendayagunaan Aset Desa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Dokumen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3.000.000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Pem</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7.01.06.2.01.05</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Fasilitasi Pelaksanaan Tugas Kepala Desa dan Perangkat Desa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Dokumen Fasilitasi dalam rangka Pelaksanaan Tugas Kepala Desa dan Perangkat Desa"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Dokumen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1.250.000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Pem</w:t>
            </w:r>
          </w:p>
        </w:tc>
      </w:tr>
      <w:tr>
        <w:tblPrEx>
          <w:tblCellMar>
            <w:top w:w="0" w:type="dxa"/>
            <w:left w:w="108" w:type="dxa"/>
            <w:bottom w:w="0" w:type="dxa"/>
            <w:right w:w="108" w:type="dxa"/>
          </w:tblCellMar>
        </w:tblPrEx>
        <w:trPr>
          <w:trHeight w:val="63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7.01.06.2.01.07</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Fasilitasi Pelaksanaan Tugas dan Fungsi Badan Permusyawaratan Desa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Dokumen Fasilitasi Pelaksanaan Tugas dan Fungsi Badan Permusyawaratan Desa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Dokumen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2.200.000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Pem</w:t>
            </w:r>
          </w:p>
        </w:tc>
      </w:tr>
      <w:tr>
        <w:tblPrEx>
          <w:tblCellMar>
            <w:top w:w="0" w:type="dxa"/>
            <w:left w:w="108" w:type="dxa"/>
            <w:bottom w:w="0" w:type="dxa"/>
            <w:right w:w="108" w:type="dxa"/>
          </w:tblCellMar>
        </w:tblPrEx>
        <w:trPr>
          <w:trHeight w:val="42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7.01.06.2.01.08</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Rekomendasi Pengangkatan dan Pemberhentian Perangkat Desa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Pengangkatan dan Pemberhentian Perangkat Desa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Dokumen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1.100.000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1.100.000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Pem</w:t>
            </w:r>
          </w:p>
        </w:tc>
      </w:tr>
      <w:tr>
        <w:tblPrEx>
          <w:tblCellMar>
            <w:top w:w="0" w:type="dxa"/>
            <w:left w:w="108" w:type="dxa"/>
            <w:bottom w:w="0" w:type="dxa"/>
            <w:right w:w="108" w:type="dxa"/>
          </w:tblCellMar>
        </w:tblPrEx>
        <w:trPr>
          <w:trHeight w:val="1150" w:hRule="atLeast"/>
        </w:trPr>
        <w:tc>
          <w:tcPr>
            <w:tcW w:w="1266" w:type="dxa"/>
            <w:tcBorders>
              <w:top w:val="nil"/>
              <w:left w:val="single" w:color="auto" w:sz="4" w:space="0"/>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7.01.06.2.01.15</w:t>
            </w:r>
          </w:p>
        </w:tc>
        <w:tc>
          <w:tcPr>
            <w:tcW w:w="2050"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Fasilitasi Penataan, Pemanfaatan, dan Pendayagunaan Ruang Desa serta Penetapan dan Penegasan Batas Desa</w:t>
            </w:r>
          </w:p>
        </w:tc>
        <w:tc>
          <w:tcPr>
            <w:tcW w:w="1937" w:type="dxa"/>
            <w:tcBorders>
              <w:top w:val="nil"/>
              <w:left w:val="nil"/>
              <w:bottom w:val="single" w:color="auto" w:sz="4" w:space="0"/>
              <w:right w:val="single" w:color="auto" w:sz="4" w:space="0"/>
            </w:tcBorders>
            <w:shd w:val="clear" w:color="auto" w:fill="auto"/>
          </w:tcPr>
          <w:p>
            <w:pPr>
              <w:spacing w:after="0" w:line="240" w:lineRule="auto"/>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"Jumlah Dokumen Fasilitasi dalam rangka Penataan, Pemanfaatan, dan Pendayagunaan Ruang Desa serta Penetapan dan Penegasan Batas Desa"</w:t>
            </w:r>
          </w:p>
        </w:tc>
        <w:tc>
          <w:tcPr>
            <w:tcW w:w="867"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Dokumen</w:t>
            </w:r>
          </w:p>
        </w:tc>
        <w:tc>
          <w:tcPr>
            <w:tcW w:w="76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w:t>
            </w:r>
          </w:p>
        </w:tc>
        <w:tc>
          <w:tcPr>
            <w:tcW w:w="1201"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1.050.000</w:t>
            </w:r>
          </w:p>
        </w:tc>
        <w:tc>
          <w:tcPr>
            <w:tcW w:w="705"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079" w:type="dxa"/>
            <w:tcBorders>
              <w:top w:val="nil"/>
              <w:left w:val="nil"/>
              <w:bottom w:val="single" w:color="auto" w:sz="4" w:space="0"/>
              <w:right w:val="single" w:color="auto" w:sz="4" w:space="0"/>
            </w:tcBorders>
            <w:shd w:val="clear" w:color="auto" w:fill="auto"/>
          </w:tcPr>
          <w:p>
            <w:pPr>
              <w:spacing w:after="0" w:line="240" w:lineRule="auto"/>
              <w:jc w:val="right"/>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0</w:t>
            </w:r>
          </w:p>
        </w:tc>
        <w:tc>
          <w:tcPr>
            <w:tcW w:w="1200" w:type="dxa"/>
            <w:tcBorders>
              <w:top w:val="nil"/>
              <w:left w:val="nil"/>
              <w:bottom w:val="single" w:color="auto" w:sz="4" w:space="0"/>
              <w:right w:val="single" w:color="auto" w:sz="4" w:space="0"/>
            </w:tcBorders>
            <w:shd w:val="clear" w:color="auto" w:fill="auto"/>
          </w:tcPr>
          <w:p>
            <w:pPr>
              <w:spacing w:after="0" w:line="240" w:lineRule="auto"/>
              <w:jc w:val="center"/>
              <w:rPr>
                <w:rFonts w:ascii="Cambria" w:hAnsi="Cambria" w:eastAsia="Times New Roman" w:cs="Calibri"/>
                <w:color w:val="000000"/>
                <w:sz w:val="16"/>
                <w:szCs w:val="16"/>
                <w:lang w:val="en-US"/>
              </w:rPr>
            </w:pPr>
            <w:r>
              <w:rPr>
                <w:rFonts w:ascii="Cambria" w:hAnsi="Cambria" w:eastAsia="Times New Roman" w:cs="Calibri"/>
                <w:color w:val="000000"/>
                <w:sz w:val="16"/>
                <w:szCs w:val="16"/>
                <w:lang w:val="en-US"/>
              </w:rPr>
              <w:t>Kasi Pem</w:t>
            </w:r>
          </w:p>
        </w:tc>
      </w:tr>
    </w:tbl>
    <w:p>
      <w:pPr>
        <w:spacing w:after="0" w:line="240" w:lineRule="auto"/>
        <w:rPr>
          <w:rFonts w:ascii="Arial" w:hAnsi="Arial" w:cs="Arial"/>
          <w:sz w:val="24"/>
          <w:szCs w:val="24"/>
        </w:rPr>
      </w:pPr>
    </w:p>
    <w:p>
      <w:pPr>
        <w:spacing w:after="0" w:line="240" w:lineRule="auto"/>
        <w:jc w:val="center"/>
        <w:rPr>
          <w:rFonts w:ascii="Arial" w:hAnsi="Arial" w:cs="Arial"/>
          <w:sz w:val="24"/>
          <w:szCs w:val="24"/>
          <w:lang w:val="en-US"/>
        </w:rPr>
      </w:pPr>
    </w:p>
    <w:p>
      <w:pPr>
        <w:spacing w:after="0" w:line="240" w:lineRule="auto"/>
        <w:jc w:val="center"/>
        <w:rPr>
          <w:rFonts w:ascii="Arial" w:hAnsi="Arial" w:cs="Arial"/>
          <w:sz w:val="24"/>
          <w:szCs w:val="24"/>
          <w:lang w:val="en-US"/>
        </w:rPr>
      </w:pPr>
    </w:p>
    <w:p>
      <w:pPr>
        <w:spacing w:after="0" w:line="240" w:lineRule="auto"/>
        <w:rPr>
          <w:rFonts w:ascii="Arial" w:hAnsi="Arial" w:cs="Arial"/>
          <w:sz w:val="24"/>
          <w:szCs w:val="24"/>
          <w:lang w:val="en-US"/>
        </w:rPr>
      </w:pPr>
    </w:p>
    <w:p>
      <w:pPr>
        <w:spacing w:after="0" w:line="240" w:lineRule="auto"/>
        <w:jc w:val="center"/>
        <w:rPr>
          <w:rFonts w:ascii="Arial" w:hAnsi="Arial" w:cs="Arial"/>
          <w:sz w:val="24"/>
          <w:szCs w:val="24"/>
        </w:rPr>
      </w:pPr>
    </w:p>
    <w:p>
      <w:pPr>
        <w:spacing w:after="0" w:line="360" w:lineRule="auto"/>
        <w:rPr>
          <w:rFonts w:ascii="Arial" w:hAnsi="Arial" w:cs="Arial"/>
          <w:sz w:val="24"/>
          <w:szCs w:val="24"/>
        </w:rPr>
      </w:pPr>
    </w:p>
    <w:p>
      <w:pPr>
        <w:spacing w:after="0" w:line="360" w:lineRule="auto"/>
        <w:rPr>
          <w:rFonts w:ascii="Arial" w:hAnsi="Arial" w:cs="Arial"/>
          <w:sz w:val="24"/>
          <w:szCs w:val="24"/>
        </w:rPr>
      </w:pPr>
    </w:p>
    <w:p>
      <w:pPr>
        <w:spacing w:after="0" w:line="360" w:lineRule="auto"/>
        <w:rPr>
          <w:rFonts w:ascii="Arial" w:hAnsi="Arial" w:cs="Arial"/>
          <w:sz w:val="24"/>
          <w:szCs w:val="24"/>
          <w:lang w:val="en-US"/>
        </w:rPr>
      </w:pPr>
    </w:p>
    <w:p>
      <w:pPr>
        <w:spacing w:after="0" w:line="240" w:lineRule="auto"/>
        <w:rPr>
          <w:rFonts w:ascii="Arial" w:hAnsi="Arial" w:cs="Arial"/>
          <w:b/>
          <w:sz w:val="24"/>
          <w:szCs w:val="24"/>
        </w:rPr>
      </w:pPr>
      <w:r>
        <w:rPr>
          <w:rFonts w:ascii="Arial" w:hAnsi="Arial" w:cs="Arial"/>
          <w:b/>
          <w:sz w:val="24"/>
          <w:szCs w:val="24"/>
        </w:rPr>
        <w:br w:type="page"/>
      </w:r>
    </w:p>
    <w:p>
      <w:pPr>
        <w:spacing w:after="0" w:line="360" w:lineRule="auto"/>
        <w:jc w:val="center"/>
        <w:rPr>
          <w:rFonts w:ascii="Arial" w:hAnsi="Arial" w:cs="Arial"/>
          <w:b/>
          <w:sz w:val="24"/>
          <w:szCs w:val="24"/>
        </w:rPr>
      </w:pPr>
      <w:r>
        <w:rPr>
          <w:rFonts w:ascii="Arial" w:hAnsi="Arial" w:cs="Arial"/>
          <w:b/>
          <w:sz w:val="24"/>
          <w:szCs w:val="24"/>
        </w:rPr>
        <w:t>BAB III</w:t>
      </w:r>
    </w:p>
    <w:p>
      <w:pPr>
        <w:spacing w:after="0" w:line="360" w:lineRule="auto"/>
        <w:jc w:val="center"/>
        <w:rPr>
          <w:rFonts w:ascii="Arial" w:hAnsi="Arial" w:cs="Arial"/>
          <w:sz w:val="24"/>
          <w:szCs w:val="24"/>
        </w:rPr>
      </w:pPr>
      <w:r>
        <w:rPr>
          <w:rFonts w:ascii="Arial" w:hAnsi="Arial" w:cs="Arial"/>
          <w:b/>
          <w:sz w:val="24"/>
          <w:szCs w:val="24"/>
        </w:rPr>
        <w:t>AKUNTABILITAS KINERJA</w:t>
      </w:r>
    </w:p>
    <w:p>
      <w:pPr>
        <w:pStyle w:val="15"/>
        <w:numPr>
          <w:ilvl w:val="1"/>
          <w:numId w:val="13"/>
        </w:numPr>
        <w:spacing w:after="0" w:line="360" w:lineRule="auto"/>
        <w:ind w:left="567" w:hanging="567"/>
        <w:rPr>
          <w:rFonts w:ascii="Arial" w:hAnsi="Arial" w:cs="Arial"/>
          <w:b/>
          <w:sz w:val="24"/>
          <w:szCs w:val="24"/>
        </w:rPr>
      </w:pPr>
      <w:r>
        <w:rPr>
          <w:rFonts w:ascii="Arial" w:hAnsi="Arial" w:cs="Arial"/>
          <w:b/>
          <w:sz w:val="24"/>
          <w:szCs w:val="24"/>
        </w:rPr>
        <w:t>Capaian Indikator Kinerja Utama</w:t>
      </w:r>
    </w:p>
    <w:p>
      <w:pPr>
        <w:spacing w:after="0" w:line="360" w:lineRule="auto"/>
        <w:ind w:left="851" w:firstLine="567"/>
        <w:jc w:val="both"/>
        <w:rPr>
          <w:rFonts w:ascii="Trebuchet MS" w:hAnsi="Trebuchet MS"/>
          <w:sz w:val="24"/>
          <w:szCs w:val="24"/>
        </w:rPr>
      </w:pPr>
      <w:r>
        <w:rPr>
          <w:rFonts w:ascii="Arial" w:hAnsi="Arial" w:cs="Arial"/>
          <w:color w:val="000000"/>
          <w:sz w:val="24"/>
          <w:szCs w:val="24"/>
          <w:lang w:val="en-GB"/>
        </w:rPr>
        <w:tab/>
      </w:r>
      <w:r>
        <w:rPr>
          <w:rFonts w:ascii="Trebuchet MS" w:hAnsi="Trebuchet MS"/>
          <w:sz w:val="24"/>
          <w:szCs w:val="24"/>
        </w:rPr>
        <w:t>Pengukuran kinerja dilakukan dengan cara menggunakan indikator kinerja kegiatan. Pengukuran dilakukan dengan memanfaatkan sumber data kinerja yang diperoleh dari data internal instansi dan data eksternal yang berasal dari luar instansi baik berupa data primer maupun sekunder.</w:t>
      </w:r>
    </w:p>
    <w:p>
      <w:pPr>
        <w:spacing w:after="0" w:line="360" w:lineRule="auto"/>
        <w:ind w:left="851" w:firstLine="567"/>
        <w:jc w:val="both"/>
        <w:rPr>
          <w:rFonts w:ascii="Trebuchet MS" w:hAnsi="Trebuchet MS"/>
          <w:sz w:val="24"/>
          <w:szCs w:val="24"/>
        </w:rPr>
      </w:pPr>
      <w:r>
        <w:rPr>
          <w:rFonts w:ascii="Trebuchet MS" w:hAnsi="Trebuchet MS"/>
          <w:sz w:val="24"/>
          <w:szCs w:val="24"/>
        </w:rPr>
        <w:t>Pengukuran kinerja mencakup; kinerja kegiatan yang merupakan tingkat capaian target dari masing-masing indikator (masukan, keluaran, hasil, manfaat dan dampak), dan kinerja sasaran yakni tingkat pencapaian sasaran dengan indikator yang telah ditetapkan dalam rencana kinerja.</w:t>
      </w:r>
    </w:p>
    <w:p>
      <w:pPr>
        <w:pStyle w:val="15"/>
        <w:tabs>
          <w:tab w:val="center" w:pos="0"/>
        </w:tabs>
        <w:spacing w:line="360" w:lineRule="auto"/>
        <w:ind w:left="567" w:firstLine="567"/>
        <w:jc w:val="both"/>
        <w:rPr>
          <w:rFonts w:ascii="Arial" w:hAnsi="Arial" w:cs="Arial"/>
          <w:color w:val="000000"/>
          <w:sz w:val="24"/>
        </w:rPr>
      </w:pPr>
      <w:r>
        <w:rPr>
          <w:rFonts w:ascii="Arial" w:hAnsi="Arial" w:cs="Arial"/>
          <w:color w:val="000000"/>
          <w:sz w:val="24"/>
          <w:szCs w:val="24"/>
          <w:lang w:val="en-GB"/>
        </w:rPr>
        <w:t xml:space="preserve">Untuk menganalisis kinerja pelayanan Kecamatan Astambul menggunakan Indicator Kinerja Utama, yaitu </w:t>
      </w:r>
      <w:r>
        <w:rPr>
          <w:rFonts w:ascii="Arial" w:hAnsi="Arial" w:cs="Arial"/>
          <w:color w:val="000000"/>
          <w:sz w:val="24"/>
          <w:szCs w:val="24"/>
        </w:rPr>
        <w:t>Nilai Evaluasi Kecamatan</w:t>
      </w:r>
      <w:r>
        <w:rPr>
          <w:rFonts w:ascii="Arial" w:hAnsi="Arial" w:cs="Arial"/>
          <w:color w:val="000000"/>
          <w:sz w:val="24"/>
          <w:szCs w:val="24"/>
          <w:lang w:val="en-GB"/>
        </w:rPr>
        <w:t xml:space="preserve"> . </w:t>
      </w:r>
      <w:r>
        <w:rPr>
          <w:rFonts w:ascii="Arial" w:hAnsi="Arial" w:cs="Arial"/>
          <w:color w:val="000000"/>
          <w:sz w:val="24"/>
        </w:rPr>
        <w:t xml:space="preserve">Hasil pengukuran Nilai Evaluasi Kecamatan  ini dapat dijadikan sebagai bahan evaluasi terhadap kinerja perangkat. </w:t>
      </w:r>
    </w:p>
    <w:p>
      <w:pPr>
        <w:pStyle w:val="15"/>
        <w:spacing w:after="0" w:line="240" w:lineRule="auto"/>
        <w:ind w:left="360"/>
        <w:jc w:val="center"/>
        <w:rPr>
          <w:rFonts w:ascii="Arial" w:hAnsi="Arial" w:cs="Arial"/>
          <w:sz w:val="24"/>
          <w:szCs w:val="24"/>
        </w:rPr>
      </w:pPr>
      <w:r>
        <w:rPr>
          <w:rFonts w:ascii="Arial" w:hAnsi="Arial" w:cs="Arial"/>
          <w:sz w:val="24"/>
          <w:szCs w:val="24"/>
        </w:rPr>
        <w:t>Tabel 3.1</w:t>
      </w:r>
    </w:p>
    <w:p>
      <w:pPr>
        <w:pStyle w:val="15"/>
        <w:spacing w:after="0" w:line="360" w:lineRule="auto"/>
        <w:ind w:left="851" w:firstLine="589"/>
        <w:jc w:val="center"/>
        <w:rPr>
          <w:rFonts w:ascii="Arial" w:hAnsi="Arial" w:cs="Arial"/>
          <w:color w:val="000000"/>
          <w:sz w:val="24"/>
          <w:szCs w:val="24"/>
          <w:lang w:val="zh-CN"/>
        </w:rPr>
      </w:pPr>
      <w:r>
        <w:rPr>
          <w:rFonts w:ascii="Arial" w:hAnsi="Arial" w:cs="Arial"/>
          <w:sz w:val="24"/>
          <w:szCs w:val="24"/>
        </w:rPr>
        <w:t xml:space="preserve">Capaian IKU Pada </w:t>
      </w:r>
      <w:r>
        <w:rPr>
          <w:rFonts w:ascii="Arial" w:hAnsi="Arial" w:cs="Arial"/>
          <w:color w:val="000000"/>
          <w:sz w:val="24"/>
          <w:szCs w:val="24"/>
          <w:lang w:val="zh-CN"/>
        </w:rPr>
        <w:t>PelayananPerangkat Daerah KecamatanAstambul</w:t>
      </w:r>
    </w:p>
    <w:p>
      <w:pPr>
        <w:pStyle w:val="15"/>
        <w:spacing w:after="0" w:line="360" w:lineRule="auto"/>
        <w:ind w:left="851" w:firstLine="589"/>
        <w:jc w:val="center"/>
        <w:rPr>
          <w:rFonts w:ascii="Arial" w:hAnsi="Arial" w:cs="Arial"/>
          <w:sz w:val="24"/>
          <w:szCs w:val="24"/>
          <w:lang w:val="en-US"/>
        </w:rPr>
      </w:pPr>
      <w:r>
        <w:rPr>
          <w:rFonts w:ascii="Arial" w:hAnsi="Arial" w:cs="Arial"/>
          <w:color w:val="000000"/>
          <w:sz w:val="24"/>
          <w:szCs w:val="24"/>
          <w:lang w:val="zh-CN"/>
        </w:rPr>
        <w:t xml:space="preserve">Kabupaten Banjar </w:t>
      </w:r>
      <w:r>
        <w:rPr>
          <w:rFonts w:ascii="Arial" w:hAnsi="Arial" w:cs="Arial"/>
          <w:sz w:val="24"/>
          <w:szCs w:val="24"/>
        </w:rPr>
        <w:t>Tahun Anggaran 2023</w:t>
      </w:r>
    </w:p>
    <w:p>
      <w:pPr>
        <w:pStyle w:val="15"/>
        <w:spacing w:after="0" w:line="240" w:lineRule="auto"/>
        <w:ind w:left="360"/>
        <w:jc w:val="center"/>
        <w:rPr>
          <w:rFonts w:ascii="Arial" w:hAnsi="Arial" w:cs="Arial"/>
          <w:sz w:val="24"/>
          <w:szCs w:val="24"/>
        </w:rPr>
      </w:pPr>
    </w:p>
    <w:tbl>
      <w:tblPr>
        <w:tblStyle w:val="4"/>
        <w:tblW w:w="9056"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3550"/>
        <w:gridCol w:w="1453"/>
        <w:gridCol w:w="1885"/>
        <w:gridCol w:w="1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DBE5F1"/>
          </w:tcPr>
          <w:p>
            <w:pPr>
              <w:pStyle w:val="15"/>
              <w:ind w:left="0"/>
              <w:jc w:val="center"/>
              <w:rPr>
                <w:rFonts w:ascii="Arial" w:hAnsi="Arial" w:cs="Arial"/>
                <w:sz w:val="24"/>
                <w:szCs w:val="24"/>
              </w:rPr>
            </w:pPr>
            <w:r>
              <w:rPr>
                <w:rFonts w:ascii="Arial" w:hAnsi="Arial" w:cs="Arial"/>
                <w:sz w:val="24"/>
                <w:szCs w:val="24"/>
              </w:rPr>
              <w:t>No</w:t>
            </w:r>
          </w:p>
        </w:tc>
        <w:tc>
          <w:tcPr>
            <w:tcW w:w="3550" w:type="dxa"/>
            <w:shd w:val="clear" w:color="auto" w:fill="DBE5F1"/>
          </w:tcPr>
          <w:p>
            <w:pPr>
              <w:pStyle w:val="15"/>
              <w:ind w:left="0"/>
              <w:jc w:val="center"/>
              <w:rPr>
                <w:rFonts w:ascii="Arial" w:hAnsi="Arial" w:cs="Arial"/>
                <w:sz w:val="24"/>
                <w:szCs w:val="24"/>
              </w:rPr>
            </w:pPr>
            <w:r>
              <w:rPr>
                <w:rFonts w:ascii="Arial" w:hAnsi="Arial" w:cs="Arial"/>
                <w:sz w:val="24"/>
                <w:szCs w:val="24"/>
              </w:rPr>
              <w:t>Indikator Kinerja</w:t>
            </w:r>
          </w:p>
        </w:tc>
        <w:tc>
          <w:tcPr>
            <w:tcW w:w="1453" w:type="dxa"/>
            <w:shd w:val="clear" w:color="auto" w:fill="DBE5F1"/>
          </w:tcPr>
          <w:p>
            <w:pPr>
              <w:pStyle w:val="15"/>
              <w:ind w:left="0"/>
              <w:jc w:val="center"/>
              <w:rPr>
                <w:rFonts w:ascii="Arial" w:hAnsi="Arial" w:cs="Arial"/>
                <w:sz w:val="24"/>
                <w:szCs w:val="24"/>
                <w:lang w:val="en-US"/>
              </w:rPr>
            </w:pPr>
            <w:r>
              <w:rPr>
                <w:rFonts w:ascii="Arial" w:hAnsi="Arial" w:cs="Arial"/>
                <w:sz w:val="24"/>
                <w:szCs w:val="24"/>
              </w:rPr>
              <w:t>Target 2023</w:t>
            </w:r>
          </w:p>
        </w:tc>
        <w:tc>
          <w:tcPr>
            <w:tcW w:w="1885" w:type="dxa"/>
            <w:shd w:val="clear" w:color="auto" w:fill="DBE5F1"/>
          </w:tcPr>
          <w:p>
            <w:pPr>
              <w:pStyle w:val="15"/>
              <w:ind w:left="0"/>
              <w:jc w:val="center"/>
              <w:rPr>
                <w:rFonts w:ascii="Arial" w:hAnsi="Arial" w:cs="Arial"/>
                <w:sz w:val="24"/>
                <w:szCs w:val="24"/>
              </w:rPr>
            </w:pPr>
            <w:r>
              <w:rPr>
                <w:rFonts w:ascii="Arial" w:hAnsi="Arial" w:cs="Arial"/>
                <w:sz w:val="24"/>
                <w:szCs w:val="24"/>
              </w:rPr>
              <w:t>Realisasi</w:t>
            </w:r>
          </w:p>
        </w:tc>
        <w:tc>
          <w:tcPr>
            <w:tcW w:w="1607" w:type="dxa"/>
            <w:shd w:val="clear" w:color="auto" w:fill="DBE5F1"/>
          </w:tcPr>
          <w:p>
            <w:pPr>
              <w:pStyle w:val="15"/>
              <w:ind w:left="0"/>
              <w:jc w:val="center"/>
              <w:rPr>
                <w:rFonts w:ascii="Arial" w:hAnsi="Arial" w:cs="Arial"/>
                <w:sz w:val="24"/>
                <w:szCs w:val="24"/>
              </w:rPr>
            </w:pPr>
            <w:r>
              <w:rPr>
                <w:rFonts w:ascii="Arial" w:hAnsi="Arial" w:cs="Arial"/>
                <w:sz w:val="24"/>
                <w:szCs w:val="24"/>
              </w:rPr>
              <w:t>Capaian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tcPr>
          <w:p>
            <w:pPr>
              <w:pStyle w:val="15"/>
              <w:ind w:left="0"/>
              <w:jc w:val="center"/>
              <w:rPr>
                <w:rFonts w:ascii="Arial" w:hAnsi="Arial" w:cs="Arial"/>
                <w:sz w:val="24"/>
                <w:szCs w:val="24"/>
              </w:rPr>
            </w:pPr>
            <w:r>
              <w:rPr>
                <w:rFonts w:ascii="Arial" w:hAnsi="Arial" w:cs="Arial"/>
                <w:sz w:val="24"/>
                <w:szCs w:val="24"/>
              </w:rPr>
              <w:t>1</w:t>
            </w:r>
          </w:p>
        </w:tc>
        <w:tc>
          <w:tcPr>
            <w:tcW w:w="3550" w:type="dxa"/>
          </w:tcPr>
          <w:p>
            <w:pPr>
              <w:pStyle w:val="15"/>
              <w:spacing w:after="0" w:line="240" w:lineRule="auto"/>
              <w:ind w:left="0"/>
              <w:rPr>
                <w:rFonts w:ascii="Arial" w:hAnsi="Arial" w:cs="Arial"/>
                <w:color w:val="000000"/>
                <w:sz w:val="24"/>
                <w:szCs w:val="24"/>
                <w:lang w:val="en-US"/>
              </w:rPr>
            </w:pPr>
            <w:r>
              <w:rPr>
                <w:rFonts w:ascii="Arial" w:hAnsi="Arial" w:cs="Arial"/>
                <w:color w:val="000000"/>
                <w:sz w:val="24"/>
                <w:szCs w:val="24"/>
              </w:rPr>
              <w:t xml:space="preserve">Nilai Evaluasi Kecamatan </w:t>
            </w:r>
          </w:p>
        </w:tc>
        <w:tc>
          <w:tcPr>
            <w:tcW w:w="1453" w:type="dxa"/>
          </w:tcPr>
          <w:p>
            <w:pPr>
              <w:pStyle w:val="15"/>
              <w:spacing w:after="0" w:line="240" w:lineRule="auto"/>
              <w:ind w:left="0"/>
              <w:jc w:val="center"/>
              <w:rPr>
                <w:rFonts w:ascii="Arial" w:hAnsi="Arial" w:cs="Arial"/>
                <w:color w:val="000000"/>
                <w:sz w:val="24"/>
                <w:szCs w:val="24"/>
              </w:rPr>
            </w:pPr>
            <w:r>
              <w:rPr>
                <w:rFonts w:ascii="Arial" w:hAnsi="Arial" w:cs="Arial"/>
                <w:color w:val="000000"/>
                <w:sz w:val="24"/>
                <w:szCs w:val="24"/>
                <w:lang w:val="zh-CN"/>
              </w:rPr>
              <w:t>7</w:t>
            </w:r>
            <w:r>
              <w:rPr>
                <w:rFonts w:ascii="Arial" w:hAnsi="Arial" w:cs="Arial"/>
                <w:color w:val="000000"/>
                <w:sz w:val="24"/>
                <w:szCs w:val="24"/>
              </w:rPr>
              <w:t>3</w:t>
            </w:r>
          </w:p>
        </w:tc>
        <w:tc>
          <w:tcPr>
            <w:tcW w:w="1885" w:type="dxa"/>
            <w:shd w:val="clear" w:color="auto" w:fill="auto"/>
          </w:tcPr>
          <w:p>
            <w:pPr>
              <w:pStyle w:val="15"/>
              <w:ind w:left="0"/>
              <w:jc w:val="both"/>
              <w:rPr>
                <w:rFonts w:ascii="Arial" w:hAnsi="Arial" w:cs="Arial"/>
                <w:sz w:val="24"/>
                <w:szCs w:val="24"/>
              </w:rPr>
            </w:pPr>
          </w:p>
        </w:tc>
        <w:tc>
          <w:tcPr>
            <w:tcW w:w="1607" w:type="dxa"/>
            <w:shd w:val="clear" w:color="auto" w:fill="auto"/>
          </w:tcPr>
          <w:p>
            <w:pPr>
              <w:pStyle w:val="15"/>
              <w:ind w:left="0"/>
              <w:jc w:val="center"/>
              <w:rPr>
                <w:rFonts w:ascii="Arial" w:hAnsi="Arial" w:cs="Arial"/>
                <w:sz w:val="24"/>
                <w:szCs w:val="24"/>
                <w:lang w:val="en-US"/>
              </w:rPr>
            </w:pPr>
            <w:r>
              <w:rPr>
                <w:rFonts w:ascii="Arial" w:hAnsi="Arial" w:cs="Arial"/>
                <w:sz w:val="24"/>
                <w:szCs w:val="24"/>
                <w:lang w:val="en-US"/>
              </w:rPr>
              <w:t>-</w:t>
            </w:r>
          </w:p>
        </w:tc>
      </w:tr>
    </w:tbl>
    <w:p>
      <w:pPr>
        <w:pStyle w:val="15"/>
        <w:spacing w:after="0" w:line="240" w:lineRule="auto"/>
        <w:ind w:left="360"/>
        <w:rPr>
          <w:rFonts w:ascii="Arial" w:hAnsi="Arial" w:cs="Arial"/>
          <w:sz w:val="24"/>
          <w:szCs w:val="24"/>
        </w:rPr>
      </w:pPr>
    </w:p>
    <w:p>
      <w:pPr>
        <w:spacing w:after="0" w:line="240" w:lineRule="auto"/>
        <w:jc w:val="center"/>
        <w:rPr>
          <w:rFonts w:ascii="Arial" w:hAnsi="Arial" w:cs="Arial"/>
          <w:b/>
          <w:sz w:val="24"/>
          <w:szCs w:val="24"/>
          <w:lang w:val="en-US"/>
        </w:rPr>
      </w:pPr>
      <w:r>
        <w:rPr>
          <w:rFonts w:ascii="Arial" w:hAnsi="Arial" w:cs="Arial"/>
          <w:b/>
          <w:sz w:val="24"/>
          <w:szCs w:val="24"/>
        </w:rPr>
        <w:t>Tabel 3.</w:t>
      </w:r>
      <w:r>
        <w:rPr>
          <w:rFonts w:ascii="Arial" w:hAnsi="Arial" w:cs="Arial"/>
          <w:b/>
          <w:sz w:val="24"/>
          <w:szCs w:val="24"/>
          <w:lang w:val="en-US"/>
        </w:rPr>
        <w:t>1</w:t>
      </w:r>
    </w:p>
    <w:p>
      <w:pPr>
        <w:pStyle w:val="15"/>
        <w:spacing w:after="0" w:line="240" w:lineRule="auto"/>
        <w:ind w:left="360"/>
        <w:jc w:val="center"/>
        <w:rPr>
          <w:rFonts w:ascii="Arial" w:hAnsi="Arial" w:cs="Arial"/>
          <w:b/>
          <w:sz w:val="24"/>
          <w:szCs w:val="24"/>
          <w:lang w:val="en-US"/>
        </w:rPr>
      </w:pPr>
      <w:r>
        <w:rPr>
          <w:rFonts w:ascii="Arial" w:hAnsi="Arial" w:cs="Arial"/>
          <w:b/>
          <w:sz w:val="24"/>
          <w:szCs w:val="24"/>
        </w:rPr>
        <w:t>Capaian Kinerja Triwulan 1 Tahun 2023</w:t>
      </w:r>
    </w:p>
    <w:tbl>
      <w:tblPr>
        <w:tblStyle w:val="4"/>
        <w:tblW w:w="11341" w:type="dxa"/>
        <w:tblInd w:w="-743" w:type="dxa"/>
        <w:tblLayout w:type="fixed"/>
        <w:tblCellMar>
          <w:top w:w="0" w:type="dxa"/>
          <w:left w:w="108" w:type="dxa"/>
          <w:bottom w:w="0" w:type="dxa"/>
          <w:right w:w="108" w:type="dxa"/>
        </w:tblCellMar>
      </w:tblPr>
      <w:tblGrid>
        <w:gridCol w:w="480"/>
        <w:gridCol w:w="1080"/>
        <w:gridCol w:w="1214"/>
        <w:gridCol w:w="850"/>
        <w:gridCol w:w="1055"/>
        <w:gridCol w:w="1134"/>
        <w:gridCol w:w="631"/>
        <w:gridCol w:w="804"/>
        <w:gridCol w:w="1006"/>
        <w:gridCol w:w="1230"/>
        <w:gridCol w:w="1857"/>
      </w:tblGrid>
      <w:tr>
        <w:tblPrEx>
          <w:tblCellMar>
            <w:top w:w="0" w:type="dxa"/>
            <w:left w:w="108" w:type="dxa"/>
            <w:bottom w:w="0" w:type="dxa"/>
            <w:right w:w="108" w:type="dxa"/>
          </w:tblCellMar>
        </w:tblPrEx>
        <w:trPr>
          <w:trHeight w:val="360" w:hRule="atLeast"/>
        </w:trPr>
        <w:tc>
          <w:tcPr>
            <w:tcW w:w="11341" w:type="dxa"/>
            <w:gridSpan w:val="11"/>
            <w:tcBorders>
              <w:top w:val="nil"/>
              <w:left w:val="nil"/>
              <w:bottom w:val="nil"/>
              <w:right w:val="nil"/>
            </w:tcBorders>
            <w:shd w:val="clear" w:color="auto" w:fill="auto"/>
            <w:vAlign w:val="bottom"/>
          </w:tcPr>
          <w:p>
            <w:pPr>
              <w:spacing w:after="0" w:line="240" w:lineRule="auto"/>
              <w:jc w:val="center"/>
              <w:rPr>
                <w:rFonts w:eastAsia="Times New Roman"/>
                <w:b/>
                <w:bCs/>
                <w:color w:val="000000"/>
                <w:sz w:val="27"/>
                <w:szCs w:val="27"/>
              </w:rPr>
            </w:pPr>
            <w:r>
              <w:rPr>
                <w:rFonts w:eastAsia="Times New Roman"/>
                <w:b/>
                <w:bCs/>
                <w:color w:val="000000"/>
                <w:sz w:val="27"/>
                <w:szCs w:val="27"/>
              </w:rPr>
              <w:t>Tahapan Capaian Perjanjian Kinerja</w:t>
            </w:r>
          </w:p>
        </w:tc>
      </w:tr>
      <w:tr>
        <w:tblPrEx>
          <w:tblCellMar>
            <w:top w:w="0" w:type="dxa"/>
            <w:left w:w="108" w:type="dxa"/>
            <w:bottom w:w="0" w:type="dxa"/>
            <w:right w:w="108" w:type="dxa"/>
          </w:tblCellMar>
        </w:tblPrEx>
        <w:trPr>
          <w:trHeight w:val="360" w:hRule="atLeast"/>
        </w:trPr>
        <w:tc>
          <w:tcPr>
            <w:tcW w:w="11341" w:type="dxa"/>
            <w:gridSpan w:val="11"/>
            <w:tcBorders>
              <w:top w:val="nil"/>
              <w:left w:val="nil"/>
              <w:bottom w:val="nil"/>
              <w:right w:val="nil"/>
            </w:tcBorders>
            <w:shd w:val="clear" w:color="auto" w:fill="auto"/>
            <w:vAlign w:val="bottom"/>
          </w:tcPr>
          <w:p>
            <w:pPr>
              <w:spacing w:after="0" w:line="240" w:lineRule="auto"/>
              <w:jc w:val="center"/>
              <w:rPr>
                <w:rFonts w:eastAsia="Times New Roman"/>
                <w:b/>
                <w:bCs/>
                <w:color w:val="000000"/>
                <w:sz w:val="27"/>
                <w:szCs w:val="27"/>
              </w:rPr>
            </w:pPr>
            <w:r>
              <w:rPr>
                <w:rFonts w:eastAsia="Times New Roman"/>
                <w:b/>
                <w:bCs/>
                <w:color w:val="000000"/>
                <w:sz w:val="27"/>
                <w:szCs w:val="27"/>
              </w:rPr>
              <w:t>Kecamatan Astambul</w:t>
            </w:r>
          </w:p>
        </w:tc>
      </w:tr>
      <w:tr>
        <w:tblPrEx>
          <w:tblCellMar>
            <w:top w:w="0" w:type="dxa"/>
            <w:left w:w="108" w:type="dxa"/>
            <w:bottom w:w="0" w:type="dxa"/>
            <w:right w:w="108" w:type="dxa"/>
          </w:tblCellMar>
        </w:tblPrEx>
        <w:trPr>
          <w:trHeight w:val="360" w:hRule="atLeast"/>
        </w:trPr>
        <w:tc>
          <w:tcPr>
            <w:tcW w:w="11341" w:type="dxa"/>
            <w:gridSpan w:val="11"/>
            <w:tcBorders>
              <w:top w:val="nil"/>
              <w:left w:val="nil"/>
              <w:bottom w:val="nil"/>
              <w:right w:val="nil"/>
            </w:tcBorders>
            <w:shd w:val="clear" w:color="auto" w:fill="auto"/>
            <w:vAlign w:val="bottom"/>
          </w:tcPr>
          <w:p>
            <w:pPr>
              <w:spacing w:after="0" w:line="240" w:lineRule="auto"/>
              <w:jc w:val="center"/>
              <w:rPr>
                <w:rFonts w:eastAsia="Times New Roman"/>
                <w:b/>
                <w:bCs/>
                <w:color w:val="000000"/>
                <w:sz w:val="27"/>
                <w:szCs w:val="27"/>
              </w:rPr>
            </w:pPr>
            <w:r>
              <w:rPr>
                <w:rFonts w:eastAsia="Times New Roman"/>
                <w:b/>
                <w:bCs/>
                <w:color w:val="000000"/>
                <w:sz w:val="27"/>
                <w:szCs w:val="27"/>
              </w:rPr>
              <w:t>Periode 2023 – 2026</w:t>
            </w:r>
          </w:p>
        </w:tc>
      </w:tr>
      <w:tr>
        <w:tblPrEx>
          <w:tblCellMar>
            <w:top w:w="0" w:type="dxa"/>
            <w:left w:w="108" w:type="dxa"/>
            <w:bottom w:w="0" w:type="dxa"/>
            <w:right w:w="108" w:type="dxa"/>
          </w:tblCellMar>
        </w:tblPrEx>
        <w:trPr>
          <w:trHeight w:val="360" w:hRule="atLeast"/>
        </w:trPr>
        <w:tc>
          <w:tcPr>
            <w:tcW w:w="11341" w:type="dxa"/>
            <w:gridSpan w:val="11"/>
            <w:tcBorders>
              <w:top w:val="nil"/>
              <w:left w:val="nil"/>
              <w:bottom w:val="nil"/>
              <w:right w:val="nil"/>
            </w:tcBorders>
            <w:shd w:val="clear" w:color="auto" w:fill="auto"/>
            <w:vAlign w:val="bottom"/>
          </w:tcPr>
          <w:p>
            <w:pPr>
              <w:spacing w:after="0" w:line="240" w:lineRule="auto"/>
              <w:jc w:val="center"/>
              <w:rPr>
                <w:rFonts w:eastAsia="Times New Roman" w:asciiTheme="minorHAnsi" w:hAnsiTheme="minorHAnsi" w:cstheme="minorHAnsi"/>
                <w:b/>
                <w:bCs/>
                <w:color w:val="000000"/>
                <w:sz w:val="28"/>
                <w:szCs w:val="28"/>
              </w:rPr>
            </w:pPr>
            <w:r>
              <w:rPr>
                <w:rFonts w:eastAsia="Times New Roman" w:asciiTheme="minorHAnsi" w:hAnsiTheme="minorHAnsi" w:cstheme="minorHAnsi"/>
                <w:b/>
                <w:bCs/>
                <w:color w:val="000000"/>
                <w:sz w:val="28"/>
                <w:szCs w:val="28"/>
              </w:rPr>
              <w:t>Tahun 2023</w:t>
            </w:r>
          </w:p>
          <w:p>
            <w:pPr>
              <w:spacing w:after="0" w:line="240" w:lineRule="auto"/>
              <w:rPr>
                <w:rFonts w:ascii="Cambria" w:hAnsi="Cambria" w:eastAsia="Times New Roman"/>
                <w:b/>
                <w:bCs/>
                <w:color w:val="000000"/>
                <w:sz w:val="18"/>
                <w:szCs w:val="18"/>
              </w:rPr>
            </w:pPr>
          </w:p>
          <w:p>
            <w:pPr>
              <w:spacing w:after="0" w:line="240" w:lineRule="auto"/>
              <w:rPr>
                <w:rFonts w:ascii="Cambria" w:hAnsi="Cambria" w:eastAsia="Times New Roman"/>
                <w:b/>
                <w:bCs/>
                <w:color w:val="000000"/>
                <w:sz w:val="18"/>
                <w:szCs w:val="18"/>
              </w:rPr>
            </w:pPr>
          </w:p>
          <w:p>
            <w:pPr>
              <w:spacing w:after="0" w:line="240" w:lineRule="auto"/>
              <w:rPr>
                <w:rFonts w:ascii="Cambria" w:hAnsi="Cambria" w:eastAsia="Times New Roman"/>
                <w:b/>
                <w:bCs/>
                <w:color w:val="000000"/>
                <w:sz w:val="18"/>
                <w:szCs w:val="18"/>
              </w:rPr>
            </w:pPr>
          </w:p>
          <w:tbl>
            <w:tblPr>
              <w:tblStyle w:val="4"/>
              <w:tblW w:w="10904" w:type="dxa"/>
              <w:tblInd w:w="0" w:type="dxa"/>
              <w:tblLayout w:type="fixed"/>
              <w:tblCellMar>
                <w:top w:w="0" w:type="dxa"/>
                <w:left w:w="108" w:type="dxa"/>
                <w:bottom w:w="0" w:type="dxa"/>
                <w:right w:w="108" w:type="dxa"/>
              </w:tblCellMar>
            </w:tblPr>
            <w:tblGrid>
              <w:gridCol w:w="464"/>
              <w:gridCol w:w="1620"/>
              <w:gridCol w:w="1170"/>
              <w:gridCol w:w="810"/>
              <w:gridCol w:w="990"/>
              <w:gridCol w:w="1080"/>
              <w:gridCol w:w="520"/>
              <w:gridCol w:w="830"/>
              <w:gridCol w:w="990"/>
              <w:gridCol w:w="1170"/>
              <w:gridCol w:w="1260"/>
            </w:tblGrid>
            <w:tr>
              <w:tblPrEx>
                <w:tblCellMar>
                  <w:top w:w="0" w:type="dxa"/>
                  <w:left w:w="108" w:type="dxa"/>
                  <w:bottom w:w="0" w:type="dxa"/>
                  <w:right w:w="108" w:type="dxa"/>
                </w:tblCellMar>
              </w:tblPrEx>
              <w:trPr>
                <w:trHeight w:val="290" w:hRule="atLeast"/>
              </w:trPr>
              <w:tc>
                <w:tcPr>
                  <w:tcW w:w="464" w:type="dxa"/>
                  <w:tcBorders>
                    <w:top w:val="single" w:color="000000" w:sz="4" w:space="0"/>
                    <w:left w:val="single" w:color="000000" w:sz="4" w:space="0"/>
                    <w:bottom w:val="single" w:color="000000" w:sz="4" w:space="0"/>
                    <w:right w:val="single" w:color="000000" w:sz="4" w:space="0"/>
                  </w:tcBorders>
                  <w:shd w:val="clear" w:color="auto" w:fill="auto"/>
                </w:tcPr>
                <w:p>
                  <w:pPr>
                    <w:spacing w:after="0" w:line="240" w:lineRule="auto"/>
                    <w:ind w:left="-94" w:right="-106"/>
                    <w:jc w:val="center"/>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No</w:t>
                  </w:r>
                </w:p>
              </w:tc>
              <w:tc>
                <w:tcPr>
                  <w:tcW w:w="1620" w:type="dxa"/>
                  <w:tcBorders>
                    <w:top w:val="single" w:color="000000" w:sz="4" w:space="0"/>
                    <w:left w:val="nil"/>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Sasaran Strategis</w:t>
                  </w:r>
                </w:p>
              </w:tc>
              <w:tc>
                <w:tcPr>
                  <w:tcW w:w="1170" w:type="dxa"/>
                  <w:tcBorders>
                    <w:top w:val="single" w:color="000000" w:sz="4" w:space="0"/>
                    <w:left w:val="nil"/>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Indikator Kinerja</w:t>
                  </w:r>
                </w:p>
              </w:tc>
              <w:tc>
                <w:tcPr>
                  <w:tcW w:w="810" w:type="dxa"/>
                  <w:tcBorders>
                    <w:top w:val="single" w:color="000000" w:sz="4" w:space="0"/>
                    <w:left w:val="nil"/>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Satuan</w:t>
                  </w:r>
                </w:p>
              </w:tc>
              <w:tc>
                <w:tcPr>
                  <w:tcW w:w="990" w:type="dxa"/>
                  <w:tcBorders>
                    <w:top w:val="single" w:color="000000" w:sz="4" w:space="0"/>
                    <w:left w:val="nil"/>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Target Tahunan</w:t>
                  </w:r>
                </w:p>
              </w:tc>
              <w:tc>
                <w:tcPr>
                  <w:tcW w:w="1080" w:type="dxa"/>
                  <w:tcBorders>
                    <w:top w:val="single" w:color="000000" w:sz="4" w:space="0"/>
                    <w:left w:val="nil"/>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Realisasi Tahunan</w:t>
                  </w:r>
                </w:p>
              </w:tc>
              <w:tc>
                <w:tcPr>
                  <w:tcW w:w="520" w:type="dxa"/>
                  <w:tcBorders>
                    <w:top w:val="single" w:color="000000" w:sz="4" w:space="0"/>
                    <w:left w:val="nil"/>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TW</w:t>
                  </w:r>
                </w:p>
              </w:tc>
              <w:tc>
                <w:tcPr>
                  <w:tcW w:w="830" w:type="dxa"/>
                  <w:tcBorders>
                    <w:top w:val="single" w:color="000000" w:sz="4" w:space="0"/>
                    <w:left w:val="nil"/>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Target</w:t>
                  </w:r>
                </w:p>
              </w:tc>
              <w:tc>
                <w:tcPr>
                  <w:tcW w:w="990" w:type="dxa"/>
                  <w:tcBorders>
                    <w:top w:val="single" w:color="000000" w:sz="4" w:space="0"/>
                    <w:left w:val="nil"/>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Realisasi</w:t>
                  </w:r>
                </w:p>
              </w:tc>
              <w:tc>
                <w:tcPr>
                  <w:tcW w:w="1170" w:type="dxa"/>
                  <w:tcBorders>
                    <w:top w:val="single" w:color="000000" w:sz="4" w:space="0"/>
                    <w:left w:val="nil"/>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Prosentase</w:t>
                  </w:r>
                </w:p>
              </w:tc>
              <w:tc>
                <w:tcPr>
                  <w:tcW w:w="1260" w:type="dxa"/>
                  <w:tcBorders>
                    <w:top w:val="single" w:color="000000" w:sz="4" w:space="0"/>
                    <w:left w:val="nil"/>
                    <w:bottom w:val="single" w:color="000000" w:sz="4" w:space="0"/>
                    <w:right w:val="single" w:color="000000" w:sz="4" w:space="0"/>
                  </w:tcBorders>
                  <w:shd w:val="clear" w:color="auto" w:fill="auto"/>
                  <w:noWrap/>
                </w:tcPr>
                <w:p>
                  <w:pPr>
                    <w:spacing w:after="0" w:line="240" w:lineRule="auto"/>
                    <w:jc w:val="center"/>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Keterangan Per Triwulan</w:t>
                  </w:r>
                </w:p>
              </w:tc>
            </w:tr>
            <w:tr>
              <w:tblPrEx>
                <w:tblCellMar>
                  <w:top w:w="0" w:type="dxa"/>
                  <w:left w:w="108" w:type="dxa"/>
                  <w:bottom w:w="0" w:type="dxa"/>
                  <w:right w:w="108" w:type="dxa"/>
                </w:tblCellMar>
              </w:tblPrEx>
              <w:trPr>
                <w:trHeight w:val="580" w:hRule="atLeast"/>
              </w:trPr>
              <w:tc>
                <w:tcPr>
                  <w:tcW w:w="464"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ind w:left="-94"/>
                    <w:jc w:val="right"/>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1</w:t>
                  </w:r>
                </w:p>
              </w:tc>
              <w:tc>
                <w:tcPr>
                  <w:tcW w:w="162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ind w:right="-110"/>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Meningkatnya Penyelenggaraan Pemerintahan di Kecamatan</w:t>
                  </w:r>
                </w:p>
              </w:tc>
              <w:tc>
                <w:tcPr>
                  <w:tcW w:w="117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Nilai Evaluasi Kecamatan</w:t>
                  </w:r>
                </w:p>
              </w:tc>
              <w:tc>
                <w:tcPr>
                  <w:tcW w:w="81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Nilai</w:t>
                  </w:r>
                </w:p>
              </w:tc>
              <w:tc>
                <w:tcPr>
                  <w:tcW w:w="99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73</w:t>
                  </w:r>
                </w:p>
              </w:tc>
              <w:tc>
                <w:tcPr>
                  <w:tcW w:w="108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0</w:t>
                  </w:r>
                </w:p>
              </w:tc>
              <w:tc>
                <w:tcPr>
                  <w:tcW w:w="52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TW1</w:t>
                  </w:r>
                </w:p>
              </w:tc>
              <w:tc>
                <w:tcPr>
                  <w:tcW w:w="83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20</w:t>
                  </w:r>
                </w:p>
              </w:tc>
              <w:tc>
                <w:tcPr>
                  <w:tcW w:w="99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20</w:t>
                  </w:r>
                </w:p>
              </w:tc>
              <w:tc>
                <w:tcPr>
                  <w:tcW w:w="1170" w:type="dxa"/>
                  <w:vMerge w:val="restart"/>
                  <w:tcBorders>
                    <w:top w:val="nil"/>
                    <w:left w:val="single" w:color="000000" w:sz="4" w:space="0"/>
                    <w:bottom w:val="single" w:color="000000" w:sz="4" w:space="0"/>
                    <w:right w:val="single" w:color="000000" w:sz="4" w:space="0"/>
                  </w:tcBorders>
                  <w:shd w:val="clear" w:color="000000" w:fill="006600"/>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100</w:t>
                  </w: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Keterangan : </w:t>
                  </w:r>
                  <w:r>
                    <w:rPr>
                      <w:rFonts w:ascii="Cambria" w:hAnsi="Cambria" w:eastAsia="Times New Roman" w:cs="Calibri"/>
                      <w:color w:val="000000"/>
                      <w:sz w:val="18"/>
                      <w:szCs w:val="18"/>
                      <w:lang w:val="en-US"/>
                    </w:rPr>
                    <w:t>Penilaian evaluasi kecamatan belum dapat dilaksanakan</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Faktor Penghambat :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Faktor Pendorong :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single" w:color="000000" w:sz="4" w:space="0"/>
                    <w:right w:val="single" w:color="000000" w:sz="4" w:space="0"/>
                  </w:tcBorders>
                  <w:shd w:val="clear" w:color="auto" w:fill="auto"/>
                </w:tcPr>
                <w:p>
                  <w:pPr>
                    <w:spacing w:after="0" w:line="240" w:lineRule="auto"/>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tersedianya anggaran</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TW2</w:t>
                  </w:r>
                </w:p>
              </w:tc>
              <w:tc>
                <w:tcPr>
                  <w:tcW w:w="83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40</w:t>
                  </w:r>
                </w:p>
              </w:tc>
              <w:tc>
                <w:tcPr>
                  <w:tcW w:w="99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0</w:t>
                  </w:r>
                </w:p>
              </w:tc>
              <w:tc>
                <w:tcPr>
                  <w:tcW w:w="1170" w:type="dxa"/>
                  <w:vMerge w:val="restart"/>
                  <w:tcBorders>
                    <w:top w:val="nil"/>
                    <w:left w:val="single" w:color="000000" w:sz="4" w:space="0"/>
                    <w:bottom w:val="single" w:color="000000" w:sz="4" w:space="0"/>
                    <w:right w:val="single" w:color="000000" w:sz="4" w:space="0"/>
                  </w:tcBorders>
                  <w:shd w:val="clear" w:color="auto" w:fill="FF0000"/>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0</w:t>
                  </w: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Keterangan :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Faktor Penghambat :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Faktor Pendorong :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single" w:color="000000" w:sz="4" w:space="0"/>
                    <w:right w:val="single" w:color="000000" w:sz="4" w:space="0"/>
                  </w:tcBorders>
                  <w:shd w:val="clear" w:color="auto" w:fill="auto"/>
                </w:tcPr>
                <w:p>
                  <w:pPr>
                    <w:spacing w:after="0" w:line="240" w:lineRule="auto"/>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TW3</w:t>
                  </w:r>
                </w:p>
              </w:tc>
              <w:tc>
                <w:tcPr>
                  <w:tcW w:w="83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60</w:t>
                  </w:r>
                </w:p>
              </w:tc>
              <w:tc>
                <w:tcPr>
                  <w:tcW w:w="99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0</w:t>
                  </w:r>
                </w:p>
              </w:tc>
              <w:tc>
                <w:tcPr>
                  <w:tcW w:w="1170" w:type="dxa"/>
                  <w:vMerge w:val="restart"/>
                  <w:tcBorders>
                    <w:top w:val="nil"/>
                    <w:left w:val="single" w:color="000000" w:sz="4" w:space="0"/>
                    <w:bottom w:val="single" w:color="000000" w:sz="4" w:space="0"/>
                    <w:right w:val="single" w:color="000000" w:sz="4" w:space="0"/>
                  </w:tcBorders>
                  <w:shd w:val="clear" w:color="auto" w:fill="FF0000"/>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0</w:t>
                  </w: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Keterangan :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Faktor Penghambat :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Faktor Pendorong :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single" w:color="000000" w:sz="4" w:space="0"/>
                    <w:right w:val="single" w:color="000000" w:sz="4" w:space="0"/>
                  </w:tcBorders>
                  <w:shd w:val="clear" w:color="auto" w:fill="auto"/>
                </w:tcPr>
                <w:p>
                  <w:pPr>
                    <w:spacing w:after="0" w:line="240" w:lineRule="auto"/>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TW4</w:t>
                  </w:r>
                </w:p>
              </w:tc>
              <w:tc>
                <w:tcPr>
                  <w:tcW w:w="83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73</w:t>
                  </w:r>
                </w:p>
              </w:tc>
              <w:tc>
                <w:tcPr>
                  <w:tcW w:w="990" w:type="dxa"/>
                  <w:vMerge w:val="restart"/>
                  <w:tcBorders>
                    <w:top w:val="nil"/>
                    <w:left w:val="single" w:color="000000" w:sz="4" w:space="0"/>
                    <w:bottom w:val="single" w:color="000000" w:sz="4" w:space="0"/>
                    <w:right w:val="single" w:color="000000" w:sz="4" w:space="0"/>
                  </w:tcBorders>
                  <w:shd w:val="clear" w:color="auto" w:fill="auto"/>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0</w:t>
                  </w:r>
                </w:p>
              </w:tc>
              <w:tc>
                <w:tcPr>
                  <w:tcW w:w="1170" w:type="dxa"/>
                  <w:vMerge w:val="restart"/>
                  <w:tcBorders>
                    <w:top w:val="nil"/>
                    <w:left w:val="single" w:color="000000" w:sz="4" w:space="0"/>
                    <w:bottom w:val="single" w:color="000000" w:sz="4" w:space="0"/>
                    <w:right w:val="single" w:color="000000" w:sz="4" w:space="0"/>
                  </w:tcBorders>
                  <w:shd w:val="clear" w:color="auto" w:fill="FF0000"/>
                </w:tcPr>
                <w:p>
                  <w:pPr>
                    <w:spacing w:after="0" w:line="240" w:lineRule="auto"/>
                    <w:jc w:val="center"/>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0</w:t>
                  </w: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Keterangan :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Faktor Penghambat :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nil"/>
                    <w:right w:val="single" w:color="000000" w:sz="4" w:space="0"/>
                  </w:tcBorders>
                  <w:shd w:val="clear" w:color="auto" w:fill="auto"/>
                </w:tcPr>
                <w:p>
                  <w:pPr>
                    <w:spacing w:after="0" w:line="240" w:lineRule="auto"/>
                    <w:rPr>
                      <w:rFonts w:ascii="Cambria" w:hAnsi="Cambria" w:eastAsia="Times New Roman" w:cs="Calibri"/>
                      <w:b/>
                      <w:bCs/>
                      <w:color w:val="000000"/>
                      <w:sz w:val="18"/>
                      <w:szCs w:val="18"/>
                      <w:lang w:val="en-US"/>
                    </w:rPr>
                  </w:pPr>
                  <w:r>
                    <w:rPr>
                      <w:rFonts w:ascii="Cambria" w:hAnsi="Cambria" w:eastAsia="Times New Roman" w:cs="Calibri"/>
                      <w:b/>
                      <w:bCs/>
                      <w:color w:val="000000"/>
                      <w:sz w:val="18"/>
                      <w:szCs w:val="18"/>
                      <w:lang w:val="en-US"/>
                    </w:rPr>
                    <w:t xml:space="preserve">Faktor Pendorong : </w:t>
                  </w:r>
                </w:p>
              </w:tc>
            </w:tr>
            <w:tr>
              <w:tblPrEx>
                <w:tblCellMar>
                  <w:top w:w="0" w:type="dxa"/>
                  <w:left w:w="108" w:type="dxa"/>
                  <w:bottom w:w="0" w:type="dxa"/>
                  <w:right w:w="108" w:type="dxa"/>
                </w:tblCellMar>
              </w:tblPrEx>
              <w:trPr>
                <w:trHeight w:val="290" w:hRule="atLeast"/>
              </w:trPr>
              <w:tc>
                <w:tcPr>
                  <w:tcW w:w="464"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6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1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08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52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83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990" w:type="dxa"/>
                  <w:vMerge w:val="continue"/>
                  <w:tcBorders>
                    <w:top w:val="nil"/>
                    <w:left w:val="single" w:color="000000" w:sz="4" w:space="0"/>
                    <w:bottom w:val="single" w:color="000000" w:sz="4" w:space="0"/>
                    <w:right w:val="single" w:color="000000" w:sz="4" w:space="0"/>
                  </w:tcBorders>
                  <w:vAlign w:val="center"/>
                </w:tcPr>
                <w:p>
                  <w:pPr>
                    <w:spacing w:after="0" w:line="240" w:lineRule="auto"/>
                    <w:rPr>
                      <w:rFonts w:ascii="Cambria" w:hAnsi="Cambria" w:eastAsia="Times New Roman" w:cs="Calibri"/>
                      <w:color w:val="000000"/>
                      <w:sz w:val="18"/>
                      <w:szCs w:val="18"/>
                      <w:lang w:val="en-US"/>
                    </w:rPr>
                  </w:pPr>
                </w:p>
              </w:tc>
              <w:tc>
                <w:tcPr>
                  <w:tcW w:w="1170" w:type="dxa"/>
                  <w:vMerge w:val="continue"/>
                  <w:tcBorders>
                    <w:top w:val="nil"/>
                    <w:left w:val="single" w:color="000000" w:sz="4" w:space="0"/>
                    <w:bottom w:val="single" w:color="000000" w:sz="4" w:space="0"/>
                    <w:right w:val="single" w:color="000000" w:sz="4" w:space="0"/>
                  </w:tcBorders>
                  <w:shd w:val="clear" w:color="auto" w:fill="FF0000"/>
                  <w:vAlign w:val="center"/>
                </w:tcPr>
                <w:p>
                  <w:pPr>
                    <w:spacing w:after="0" w:line="240" w:lineRule="auto"/>
                    <w:rPr>
                      <w:rFonts w:ascii="Cambria" w:hAnsi="Cambria" w:eastAsia="Times New Roman" w:cs="Calibri"/>
                      <w:color w:val="000000"/>
                      <w:sz w:val="18"/>
                      <w:szCs w:val="18"/>
                      <w:lang w:val="en-US"/>
                    </w:rPr>
                  </w:pPr>
                </w:p>
              </w:tc>
              <w:tc>
                <w:tcPr>
                  <w:tcW w:w="1260" w:type="dxa"/>
                  <w:tcBorders>
                    <w:top w:val="nil"/>
                    <w:left w:val="nil"/>
                    <w:bottom w:val="single" w:color="000000" w:sz="4" w:space="0"/>
                    <w:right w:val="single" w:color="000000" w:sz="4" w:space="0"/>
                  </w:tcBorders>
                  <w:shd w:val="clear" w:color="auto" w:fill="auto"/>
                </w:tcPr>
                <w:p>
                  <w:pPr>
                    <w:spacing w:after="0" w:line="240" w:lineRule="auto"/>
                    <w:rPr>
                      <w:rFonts w:ascii="Cambria" w:hAnsi="Cambria" w:eastAsia="Times New Roman" w:cs="Calibri"/>
                      <w:color w:val="000000"/>
                      <w:sz w:val="18"/>
                      <w:szCs w:val="18"/>
                      <w:lang w:val="en-US"/>
                    </w:rPr>
                  </w:pPr>
                  <w:r>
                    <w:rPr>
                      <w:rFonts w:ascii="Cambria" w:hAnsi="Cambria" w:eastAsia="Times New Roman" w:cs="Calibri"/>
                      <w:color w:val="000000"/>
                      <w:sz w:val="18"/>
                      <w:szCs w:val="18"/>
                      <w:lang w:val="en-US"/>
                    </w:rPr>
                    <w:t> </w:t>
                  </w:r>
                </w:p>
              </w:tc>
            </w:tr>
          </w:tbl>
          <w:p>
            <w:pPr>
              <w:spacing w:after="0" w:line="240" w:lineRule="auto"/>
              <w:rPr>
                <w:rFonts w:ascii="Cambria" w:hAnsi="Cambria" w:eastAsia="Times New Roman"/>
                <w:b/>
                <w:bCs/>
                <w:color w:val="000000"/>
                <w:sz w:val="18"/>
                <w:szCs w:val="18"/>
              </w:rPr>
            </w:pPr>
          </w:p>
        </w:tc>
      </w:tr>
      <w:tr>
        <w:tblPrEx>
          <w:tblCellMar>
            <w:top w:w="0" w:type="dxa"/>
            <w:left w:w="108" w:type="dxa"/>
            <w:bottom w:w="0" w:type="dxa"/>
            <w:right w:w="108" w:type="dxa"/>
          </w:tblCellMar>
        </w:tblPrEx>
        <w:trPr>
          <w:trHeight w:val="300" w:hRule="atLeast"/>
        </w:trPr>
        <w:tc>
          <w:tcPr>
            <w:tcW w:w="48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08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21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85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055"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13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631"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80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006"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23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857"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r>
      <w:tr>
        <w:tblPrEx>
          <w:tblCellMar>
            <w:top w:w="0" w:type="dxa"/>
            <w:left w:w="108" w:type="dxa"/>
            <w:bottom w:w="0" w:type="dxa"/>
            <w:right w:w="108" w:type="dxa"/>
          </w:tblCellMar>
        </w:tblPrEx>
        <w:trPr>
          <w:trHeight w:val="300" w:hRule="atLeast"/>
        </w:trPr>
        <w:tc>
          <w:tcPr>
            <w:tcW w:w="48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08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21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85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055"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13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631"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80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006"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23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857"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r>
      <w:tr>
        <w:tblPrEx>
          <w:tblCellMar>
            <w:top w:w="0" w:type="dxa"/>
            <w:left w:w="108" w:type="dxa"/>
            <w:bottom w:w="0" w:type="dxa"/>
            <w:right w:w="108" w:type="dxa"/>
          </w:tblCellMar>
        </w:tblPrEx>
        <w:trPr>
          <w:trHeight w:val="300" w:hRule="atLeast"/>
        </w:trPr>
        <w:tc>
          <w:tcPr>
            <w:tcW w:w="48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08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21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85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055"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13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631"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80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006"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23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857"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r>
    </w:tbl>
    <w:p>
      <w:pPr>
        <w:pStyle w:val="15"/>
        <w:numPr>
          <w:ilvl w:val="1"/>
          <w:numId w:val="13"/>
        </w:numPr>
        <w:spacing w:after="0" w:line="360" w:lineRule="auto"/>
        <w:ind w:left="567" w:hanging="567"/>
        <w:rPr>
          <w:rFonts w:ascii="Arial" w:hAnsi="Arial" w:cs="Arial"/>
          <w:b/>
          <w:sz w:val="24"/>
          <w:szCs w:val="24"/>
        </w:rPr>
      </w:pPr>
      <w:r>
        <w:rPr>
          <w:rFonts w:ascii="Arial" w:hAnsi="Arial" w:cs="Arial"/>
          <w:b/>
          <w:sz w:val="24"/>
          <w:szCs w:val="24"/>
        </w:rPr>
        <w:t>Evaluasi dan Analisis Capaian Kinerja</w:t>
      </w:r>
    </w:p>
    <w:p>
      <w:pPr>
        <w:spacing w:line="360" w:lineRule="auto"/>
        <w:ind w:left="567" w:firstLine="709"/>
        <w:jc w:val="both"/>
        <w:rPr>
          <w:rFonts w:ascii="Arial" w:hAnsi="Arial" w:cs="Arial"/>
          <w:bCs/>
          <w:color w:val="000000"/>
          <w:sz w:val="24"/>
          <w:szCs w:val="24"/>
        </w:rPr>
      </w:pPr>
      <w:r>
        <w:rPr>
          <w:rFonts w:ascii="Arial" w:hAnsi="Arial" w:cs="Arial"/>
          <w:sz w:val="24"/>
          <w:szCs w:val="24"/>
        </w:rPr>
        <w:t xml:space="preserve">Pada tahun 2023, Kecamatan Astambul </w:t>
      </w:r>
      <w:r>
        <w:rPr>
          <w:rFonts w:ascii="Arial" w:hAnsi="Arial" w:cs="Arial"/>
          <w:bCs/>
          <w:color w:val="000000"/>
          <w:sz w:val="24"/>
          <w:szCs w:val="24"/>
        </w:rPr>
        <w:t>melaksanakan  1 (satu) program dan 5 (lima) kegiatan dengan rincian yaitu Program Penunjang</w:t>
      </w:r>
      <w:r>
        <w:rPr>
          <w:rFonts w:ascii="Arial" w:hAnsi="Arial" w:cs="Arial"/>
          <w:bCs/>
          <w:color w:val="000000"/>
          <w:sz w:val="24"/>
          <w:szCs w:val="24"/>
          <w:lang w:val="en-US"/>
        </w:rPr>
        <w:t xml:space="preserve"> </w:t>
      </w:r>
      <w:r>
        <w:rPr>
          <w:rFonts w:ascii="Arial" w:hAnsi="Arial" w:cs="Arial"/>
          <w:bCs/>
          <w:color w:val="000000"/>
          <w:sz w:val="24"/>
          <w:szCs w:val="24"/>
        </w:rPr>
        <w:t>Penyelenggaraan</w:t>
      </w:r>
      <w:r>
        <w:rPr>
          <w:rFonts w:ascii="Arial" w:hAnsi="Arial" w:cs="Arial"/>
          <w:bCs/>
          <w:color w:val="000000"/>
          <w:sz w:val="24"/>
          <w:szCs w:val="24"/>
          <w:lang w:val="en-US"/>
        </w:rPr>
        <w:t xml:space="preserve"> </w:t>
      </w:r>
      <w:r>
        <w:rPr>
          <w:rFonts w:ascii="Arial" w:hAnsi="Arial" w:cs="Arial"/>
          <w:bCs/>
          <w:color w:val="000000"/>
          <w:sz w:val="24"/>
          <w:szCs w:val="24"/>
        </w:rPr>
        <w:t>Pemerintah dan Pembangunan dengan Kegiatan terdiri dari :</w:t>
      </w:r>
    </w:p>
    <w:p>
      <w:pPr>
        <w:spacing w:line="240" w:lineRule="auto"/>
        <w:ind w:left="567" w:firstLine="426"/>
        <w:jc w:val="both"/>
        <w:rPr>
          <w:rFonts w:ascii="Arial" w:hAnsi="Arial" w:cs="Arial"/>
          <w:bCs/>
          <w:color w:val="000000"/>
          <w:sz w:val="24"/>
          <w:szCs w:val="24"/>
        </w:rPr>
      </w:pPr>
      <w:r>
        <w:rPr>
          <w:rFonts w:ascii="Arial" w:hAnsi="Arial" w:cs="Arial"/>
          <w:bCs/>
          <w:color w:val="000000"/>
          <w:sz w:val="24"/>
          <w:szCs w:val="24"/>
        </w:rPr>
        <w:t>1.</w:t>
      </w:r>
      <w:r>
        <w:rPr>
          <w:rFonts w:ascii="Arial" w:hAnsi="Arial" w:cs="Arial"/>
          <w:bCs/>
          <w:color w:val="000000"/>
          <w:sz w:val="24"/>
          <w:szCs w:val="24"/>
        </w:rPr>
        <w:tab/>
      </w:r>
      <w:r>
        <w:rPr>
          <w:rFonts w:ascii="Arial" w:hAnsi="Arial" w:cs="Arial"/>
          <w:bCs/>
          <w:color w:val="000000"/>
          <w:sz w:val="24"/>
          <w:szCs w:val="24"/>
        </w:rPr>
        <w:t>Penyelenggaraan Kesekretariatan Kecamatan</w:t>
      </w:r>
    </w:p>
    <w:p>
      <w:pPr>
        <w:spacing w:line="240" w:lineRule="auto"/>
        <w:ind w:left="567" w:firstLine="426"/>
        <w:jc w:val="both"/>
        <w:rPr>
          <w:rFonts w:ascii="Arial" w:hAnsi="Arial" w:cs="Arial"/>
          <w:bCs/>
          <w:color w:val="000000"/>
          <w:sz w:val="24"/>
          <w:szCs w:val="24"/>
        </w:rPr>
      </w:pPr>
      <w:r>
        <w:rPr>
          <w:rFonts w:ascii="Arial" w:hAnsi="Arial" w:cs="Arial"/>
          <w:bCs/>
          <w:color w:val="000000"/>
          <w:sz w:val="24"/>
          <w:szCs w:val="24"/>
        </w:rPr>
        <w:t>2.</w:t>
      </w:r>
      <w:r>
        <w:rPr>
          <w:rFonts w:ascii="Arial" w:hAnsi="Arial" w:cs="Arial"/>
          <w:bCs/>
          <w:color w:val="000000"/>
          <w:sz w:val="24"/>
          <w:szCs w:val="24"/>
        </w:rPr>
        <w:tab/>
      </w:r>
      <w:r>
        <w:rPr>
          <w:rFonts w:ascii="Arial" w:hAnsi="Arial" w:cs="Arial"/>
          <w:bCs/>
          <w:color w:val="000000"/>
          <w:sz w:val="24"/>
          <w:szCs w:val="24"/>
        </w:rPr>
        <w:t>Penyelenggaraan Pemerintahan Kecamatan</w:t>
      </w:r>
    </w:p>
    <w:p>
      <w:pPr>
        <w:spacing w:line="240" w:lineRule="auto"/>
        <w:ind w:left="567" w:firstLine="426"/>
        <w:jc w:val="both"/>
        <w:rPr>
          <w:rFonts w:ascii="Arial" w:hAnsi="Arial" w:cs="Arial"/>
          <w:bCs/>
          <w:color w:val="000000"/>
          <w:sz w:val="24"/>
          <w:szCs w:val="24"/>
        </w:rPr>
      </w:pPr>
      <w:r>
        <w:rPr>
          <w:rFonts w:ascii="Arial" w:hAnsi="Arial" w:cs="Arial"/>
          <w:bCs/>
          <w:color w:val="000000"/>
          <w:sz w:val="24"/>
          <w:szCs w:val="24"/>
        </w:rPr>
        <w:t>3.</w:t>
      </w:r>
      <w:r>
        <w:rPr>
          <w:rFonts w:ascii="Arial" w:hAnsi="Arial" w:cs="Arial"/>
          <w:bCs/>
          <w:color w:val="000000"/>
          <w:sz w:val="24"/>
          <w:szCs w:val="24"/>
        </w:rPr>
        <w:tab/>
      </w:r>
      <w:r>
        <w:rPr>
          <w:rFonts w:ascii="Arial" w:hAnsi="Arial" w:cs="Arial"/>
          <w:bCs/>
          <w:color w:val="000000"/>
          <w:sz w:val="24"/>
          <w:szCs w:val="24"/>
        </w:rPr>
        <w:t>Penyelenggaraan Pemberdayaan Masyarakat Kecamatan</w:t>
      </w:r>
    </w:p>
    <w:p>
      <w:pPr>
        <w:spacing w:line="240" w:lineRule="auto"/>
        <w:ind w:left="567" w:firstLine="426"/>
        <w:jc w:val="both"/>
        <w:rPr>
          <w:rFonts w:ascii="Arial" w:hAnsi="Arial" w:cs="Arial"/>
          <w:bCs/>
          <w:color w:val="000000"/>
          <w:sz w:val="24"/>
          <w:szCs w:val="24"/>
        </w:rPr>
      </w:pPr>
      <w:r>
        <w:rPr>
          <w:rFonts w:ascii="Arial" w:hAnsi="Arial" w:cs="Arial"/>
          <w:bCs/>
          <w:color w:val="000000"/>
          <w:sz w:val="24"/>
          <w:szCs w:val="24"/>
        </w:rPr>
        <w:t>4.</w:t>
      </w:r>
      <w:r>
        <w:rPr>
          <w:rFonts w:ascii="Arial" w:hAnsi="Arial" w:cs="Arial"/>
          <w:bCs/>
          <w:color w:val="000000"/>
          <w:sz w:val="24"/>
          <w:szCs w:val="24"/>
        </w:rPr>
        <w:tab/>
      </w:r>
      <w:r>
        <w:rPr>
          <w:rFonts w:ascii="Arial" w:hAnsi="Arial" w:cs="Arial"/>
          <w:bCs/>
          <w:color w:val="000000"/>
          <w:sz w:val="24"/>
          <w:szCs w:val="24"/>
        </w:rPr>
        <w:t>Penyelenggaraan Ketentraman dan Ketertiban Kecamatan</w:t>
      </w:r>
    </w:p>
    <w:p>
      <w:pPr>
        <w:spacing w:line="240" w:lineRule="auto"/>
        <w:ind w:left="567" w:firstLine="426"/>
        <w:jc w:val="both"/>
        <w:rPr>
          <w:rFonts w:ascii="Arial" w:hAnsi="Arial" w:cs="Arial"/>
          <w:bCs/>
          <w:color w:val="000000"/>
          <w:sz w:val="24"/>
          <w:szCs w:val="24"/>
        </w:rPr>
      </w:pPr>
      <w:r>
        <w:rPr>
          <w:rFonts w:ascii="Arial" w:hAnsi="Arial" w:cs="Arial"/>
          <w:bCs/>
          <w:color w:val="000000"/>
          <w:sz w:val="24"/>
          <w:szCs w:val="24"/>
        </w:rPr>
        <w:t>5.</w:t>
      </w:r>
      <w:r>
        <w:rPr>
          <w:rFonts w:ascii="Arial" w:hAnsi="Arial" w:cs="Arial"/>
          <w:bCs/>
          <w:color w:val="000000"/>
          <w:sz w:val="24"/>
          <w:szCs w:val="24"/>
        </w:rPr>
        <w:tab/>
      </w:r>
      <w:r>
        <w:rPr>
          <w:rFonts w:ascii="Arial" w:hAnsi="Arial" w:cs="Arial"/>
          <w:bCs/>
          <w:color w:val="000000"/>
          <w:sz w:val="24"/>
          <w:szCs w:val="24"/>
        </w:rPr>
        <w:t>Penyelenggaraan Kesejahteraan Sosial Kecamatan</w:t>
      </w:r>
    </w:p>
    <w:p>
      <w:pPr>
        <w:spacing w:line="360" w:lineRule="auto"/>
        <w:ind w:left="567"/>
        <w:jc w:val="both"/>
        <w:rPr>
          <w:rFonts w:ascii="Arial" w:hAnsi="Arial" w:cs="Arial"/>
          <w:bCs/>
          <w:color w:val="000000"/>
          <w:sz w:val="24"/>
          <w:szCs w:val="24"/>
        </w:rPr>
      </w:pPr>
      <w:r>
        <w:rPr>
          <w:rFonts w:ascii="Arial" w:hAnsi="Arial" w:cs="Arial"/>
          <w:bCs/>
          <w:color w:val="000000"/>
          <w:sz w:val="24"/>
          <w:szCs w:val="24"/>
        </w:rPr>
        <w:t>Untuk realisasi capaian target kinerja program yaitu Nilai Evaluasi Kecamatan Astambul masih belum bisa disampaikan karena untuk menilai Nilai Evaluasi Kecamatan belum dilaksanakan dan akan dilaksanakan</w:t>
      </w:r>
      <w:r>
        <w:rPr>
          <w:rFonts w:hint="default" w:ascii="Arial" w:hAnsi="Arial" w:cs="Arial"/>
          <w:bCs/>
          <w:color w:val="000000"/>
          <w:sz w:val="24"/>
          <w:szCs w:val="24"/>
          <w:lang w:val="id-ID"/>
        </w:rPr>
        <w:t>.</w:t>
      </w:r>
      <w:r>
        <w:rPr>
          <w:rFonts w:ascii="Arial" w:hAnsi="Arial" w:cs="Arial"/>
          <w:bCs/>
          <w:color w:val="000000"/>
          <w:sz w:val="24"/>
          <w:szCs w:val="24"/>
        </w:rPr>
        <w:t xml:space="preserve"> </w:t>
      </w:r>
    </w:p>
    <w:p>
      <w:pPr>
        <w:pStyle w:val="15"/>
        <w:keepNext/>
        <w:numPr>
          <w:ilvl w:val="0"/>
          <w:numId w:val="14"/>
        </w:numPr>
        <w:spacing w:after="0" w:line="240" w:lineRule="auto"/>
        <w:contextualSpacing w:val="0"/>
        <w:jc w:val="both"/>
        <w:outlineLvl w:val="1"/>
        <w:rPr>
          <w:rFonts w:ascii="Bookman Old Style" w:hAnsi="Bookman Old Style" w:eastAsia="Times New Roman" w:cs="Arial"/>
          <w:b/>
          <w:bCs/>
          <w:vanish/>
          <w:color w:val="000000"/>
          <w:sz w:val="24"/>
          <w:szCs w:val="24"/>
        </w:rPr>
      </w:pPr>
    </w:p>
    <w:p>
      <w:pPr>
        <w:spacing w:after="0" w:line="240" w:lineRule="auto"/>
        <w:rPr>
          <w:rFonts w:ascii="Arial" w:hAnsi="Arial" w:cs="Arial"/>
          <w:sz w:val="24"/>
          <w:szCs w:val="24"/>
        </w:rPr>
      </w:pPr>
    </w:p>
    <w:p>
      <w:pPr>
        <w:pStyle w:val="15"/>
        <w:numPr>
          <w:ilvl w:val="1"/>
          <w:numId w:val="15"/>
        </w:numPr>
        <w:spacing w:after="0" w:line="360" w:lineRule="auto"/>
        <w:ind w:left="1020" w:leftChars="0" w:firstLineChars="0"/>
        <w:jc w:val="both"/>
        <w:rPr>
          <w:rFonts w:ascii="Arial" w:hAnsi="Arial" w:cs="Arial"/>
          <w:b/>
          <w:sz w:val="24"/>
          <w:szCs w:val="24"/>
        </w:rPr>
      </w:pPr>
      <w:r>
        <w:rPr>
          <w:rFonts w:ascii="Arial" w:hAnsi="Arial" w:cs="Arial"/>
          <w:b/>
          <w:sz w:val="24"/>
          <w:szCs w:val="24"/>
        </w:rPr>
        <w:t>Faktor pendukung dalam mencapai sasaran antara lain :</w:t>
      </w:r>
    </w:p>
    <w:p>
      <w:pPr>
        <w:pStyle w:val="15"/>
        <w:spacing w:after="0" w:line="360" w:lineRule="auto"/>
        <w:ind w:left="993"/>
        <w:jc w:val="both"/>
        <w:rPr>
          <w:rFonts w:ascii="Arial" w:hAnsi="Arial" w:cs="Arial"/>
          <w:b/>
          <w:sz w:val="24"/>
          <w:szCs w:val="24"/>
        </w:rPr>
      </w:pPr>
      <w:r>
        <w:rPr>
          <w:rFonts w:ascii="Arial" w:hAnsi="Arial" w:cs="Arial"/>
          <w:sz w:val="24"/>
          <w:szCs w:val="24"/>
        </w:rPr>
        <w:t xml:space="preserve">Adanya kesepakatan dan komitmen kepala SKPD dengan Bupati Banjar </w:t>
      </w:r>
      <w:r>
        <w:rPr>
          <w:rFonts w:ascii="Arial" w:hAnsi="Arial" w:cs="Arial"/>
          <w:sz w:val="24"/>
          <w:szCs w:val="24"/>
          <w:lang w:val="en-US"/>
        </w:rPr>
        <w:t xml:space="preserve">Tentang Kinerja Utama Kecamatan (Perbub Banjar No. </w:t>
      </w:r>
      <w:r>
        <w:rPr>
          <w:rFonts w:hint="default" w:ascii="Arial" w:hAnsi="Arial" w:cs="Arial"/>
          <w:sz w:val="24"/>
          <w:szCs w:val="24"/>
          <w:lang w:val="id-ID"/>
        </w:rPr>
        <w:t>6</w:t>
      </w:r>
      <w:r>
        <w:rPr>
          <w:rFonts w:ascii="Arial" w:hAnsi="Arial" w:cs="Arial"/>
          <w:sz w:val="24"/>
          <w:szCs w:val="24"/>
          <w:lang w:val="en-US"/>
        </w:rPr>
        <w:t>8 Tahun 20</w:t>
      </w:r>
      <w:r>
        <w:rPr>
          <w:rFonts w:hint="default" w:ascii="Arial" w:hAnsi="Arial" w:cs="Arial"/>
          <w:sz w:val="24"/>
          <w:szCs w:val="24"/>
          <w:lang w:val="id-ID"/>
        </w:rPr>
        <w:t>22</w:t>
      </w:r>
      <w:r>
        <w:rPr>
          <w:rFonts w:ascii="Arial" w:hAnsi="Arial" w:cs="Arial"/>
          <w:sz w:val="24"/>
          <w:szCs w:val="24"/>
          <w:lang w:val="en-US"/>
        </w:rPr>
        <w:t xml:space="preserve"> )</w:t>
      </w:r>
    </w:p>
    <w:p>
      <w:pPr>
        <w:pStyle w:val="15"/>
        <w:numPr>
          <w:ilvl w:val="1"/>
          <w:numId w:val="15"/>
        </w:numPr>
        <w:spacing w:after="0" w:line="360" w:lineRule="auto"/>
        <w:ind w:left="1020" w:leftChars="0" w:firstLineChars="0"/>
        <w:jc w:val="both"/>
        <w:rPr>
          <w:rFonts w:ascii="Arial" w:hAnsi="Arial" w:cs="Arial"/>
          <w:b/>
          <w:sz w:val="24"/>
          <w:szCs w:val="24"/>
        </w:rPr>
      </w:pPr>
      <w:r>
        <w:rPr>
          <w:rFonts w:ascii="Arial" w:hAnsi="Arial" w:cs="Arial"/>
          <w:b/>
          <w:sz w:val="24"/>
          <w:szCs w:val="24"/>
        </w:rPr>
        <w:t xml:space="preserve">Faktor </w:t>
      </w:r>
      <w:r>
        <w:rPr>
          <w:rFonts w:ascii="Arial" w:hAnsi="Arial" w:cs="Arial"/>
          <w:b/>
          <w:sz w:val="24"/>
          <w:szCs w:val="24"/>
          <w:lang w:val="en-US"/>
        </w:rPr>
        <w:t>kegagalan</w:t>
      </w:r>
      <w:r>
        <w:rPr>
          <w:rFonts w:ascii="Arial" w:hAnsi="Arial" w:cs="Arial"/>
          <w:b/>
          <w:sz w:val="24"/>
          <w:szCs w:val="24"/>
        </w:rPr>
        <w:t xml:space="preserve"> dalam mencapai sasaran antara lain :</w:t>
      </w:r>
    </w:p>
    <w:p>
      <w:pPr>
        <w:pStyle w:val="15"/>
        <w:spacing w:after="0" w:line="360" w:lineRule="auto"/>
        <w:ind w:left="993"/>
        <w:jc w:val="both"/>
        <w:rPr>
          <w:rStyle w:val="24"/>
          <w:rFonts w:ascii="Arial" w:hAnsi="Arial" w:cs="Arial"/>
          <w:lang w:val="en-US"/>
        </w:rPr>
      </w:pPr>
      <w:r>
        <w:rPr>
          <w:rFonts w:hint="default" w:ascii="Arial" w:hAnsi="Arial" w:eastAsia="Times New Roman" w:cs="Arial"/>
          <w:color w:val="000000"/>
          <w:sz w:val="24"/>
          <w:szCs w:val="24"/>
          <w:lang w:val="id-ID"/>
        </w:rPr>
        <w:t xml:space="preserve">Disebabkan adanya pergeseran DPA untuk kegiatan fisik dan Keuangan </w:t>
      </w:r>
      <w:r>
        <w:rPr>
          <w:rFonts w:ascii="Arial" w:hAnsi="Arial" w:eastAsia="Times New Roman" w:cs="Arial"/>
          <w:color w:val="000000"/>
          <w:sz w:val="24"/>
          <w:szCs w:val="24"/>
        </w:rPr>
        <w:t xml:space="preserve"> sehingga menghambat terlaksananya </w:t>
      </w:r>
      <w:r>
        <w:rPr>
          <w:rStyle w:val="24"/>
          <w:rFonts w:ascii="Arial" w:hAnsi="Arial" w:cs="Arial"/>
        </w:rPr>
        <w:t>pada capaian target kinerja</w:t>
      </w:r>
      <w:r>
        <w:rPr>
          <w:rStyle w:val="24"/>
          <w:rFonts w:ascii="Arial" w:hAnsi="Arial" w:cs="Arial"/>
          <w:lang w:val="en-US"/>
        </w:rPr>
        <w:t>.</w:t>
      </w:r>
    </w:p>
    <w:p>
      <w:pPr>
        <w:pStyle w:val="15"/>
        <w:spacing w:after="0" w:line="360" w:lineRule="auto"/>
        <w:ind w:left="993"/>
        <w:jc w:val="both"/>
        <w:rPr>
          <w:rStyle w:val="24"/>
          <w:rFonts w:ascii="Arial" w:hAnsi="Arial" w:cs="Arial"/>
          <w:lang w:val="en-US"/>
        </w:rPr>
      </w:pPr>
    </w:p>
    <w:p>
      <w:pPr>
        <w:pStyle w:val="15"/>
        <w:numPr>
          <w:ilvl w:val="1"/>
          <w:numId w:val="15"/>
        </w:numPr>
        <w:spacing w:after="0" w:line="360" w:lineRule="auto"/>
        <w:ind w:left="1020" w:leftChars="0" w:firstLineChars="0"/>
        <w:jc w:val="both"/>
        <w:rPr>
          <w:rFonts w:ascii="Arial" w:hAnsi="Arial" w:cs="Arial"/>
          <w:b/>
          <w:sz w:val="24"/>
          <w:szCs w:val="24"/>
          <w:lang w:val="en-US"/>
        </w:rPr>
      </w:pPr>
      <w:r>
        <w:rPr>
          <w:rFonts w:ascii="Arial" w:hAnsi="Arial" w:cs="Arial"/>
          <w:b/>
          <w:sz w:val="24"/>
          <w:szCs w:val="24"/>
        </w:rPr>
        <w:t>Upaya yang dilakukan untuk mengatasi hambatan antara lain :</w:t>
      </w:r>
    </w:p>
    <w:p>
      <w:pPr>
        <w:pStyle w:val="15"/>
        <w:numPr>
          <w:ilvl w:val="2"/>
          <w:numId w:val="15"/>
        </w:numPr>
        <w:spacing w:after="0" w:line="360" w:lineRule="auto"/>
        <w:ind w:left="1418"/>
        <w:jc w:val="both"/>
        <w:rPr>
          <w:rFonts w:ascii="Arial" w:hAnsi="Arial" w:cs="Arial"/>
          <w:b/>
          <w:sz w:val="24"/>
          <w:szCs w:val="24"/>
          <w:lang w:val="en-US"/>
        </w:rPr>
      </w:pPr>
      <w:r>
        <w:rPr>
          <w:rFonts w:ascii="Arial" w:hAnsi="Arial" w:cs="Arial"/>
          <w:color w:val="000000"/>
          <w:sz w:val="24"/>
          <w:szCs w:val="24"/>
        </w:rPr>
        <w:t>Membimbing dan mengoreksi hasil kerja bawahan dalam kegiatan penyusunan program kerja sesuai juklak/juknis untuk kelancaran dan keakuratan data program kerja.</w:t>
      </w:r>
    </w:p>
    <w:p>
      <w:pPr>
        <w:pStyle w:val="15"/>
        <w:numPr>
          <w:ilvl w:val="2"/>
          <w:numId w:val="15"/>
        </w:numPr>
        <w:spacing w:after="0" w:line="360" w:lineRule="auto"/>
        <w:ind w:left="1418"/>
        <w:jc w:val="both"/>
        <w:rPr>
          <w:rFonts w:ascii="Arial" w:hAnsi="Arial" w:cs="Arial"/>
          <w:b/>
          <w:sz w:val="24"/>
          <w:szCs w:val="24"/>
          <w:lang w:val="en-US"/>
        </w:rPr>
      </w:pPr>
      <w:r>
        <w:rPr>
          <w:rFonts w:ascii="Arial" w:hAnsi="Arial" w:cs="Arial"/>
          <w:color w:val="000000"/>
          <w:sz w:val="24"/>
          <w:szCs w:val="24"/>
        </w:rPr>
        <w:t>Memonitoring progres pelaksanaan program kerja sesuai target yang ditetapkan agar diketahui realisasi, permasalahan dan upaya pemecahannya.</w:t>
      </w:r>
    </w:p>
    <w:p>
      <w:pPr>
        <w:pStyle w:val="15"/>
        <w:numPr>
          <w:ilvl w:val="2"/>
          <w:numId w:val="15"/>
        </w:numPr>
        <w:spacing w:after="0" w:line="360" w:lineRule="auto"/>
        <w:ind w:left="1418"/>
        <w:jc w:val="both"/>
        <w:rPr>
          <w:rFonts w:ascii="Arial" w:hAnsi="Arial" w:cs="Arial"/>
          <w:b/>
          <w:sz w:val="24"/>
          <w:szCs w:val="24"/>
          <w:lang w:val="en-US"/>
        </w:rPr>
      </w:pPr>
      <w:r>
        <w:rPr>
          <w:rFonts w:ascii="Arial" w:hAnsi="Arial" w:cs="Arial"/>
          <w:color w:val="000000"/>
          <w:sz w:val="24"/>
          <w:szCs w:val="24"/>
        </w:rPr>
        <w:t>Membimbing dan mengoreksi hasil kerja bawahan dalam kegiatan penyusunan perencanaan kinerja dan pelaporan kinerja sesuai juklak/juknis untuk kelancaran dan keakuratan Rencana kinerja dan pelaporan</w:t>
      </w:r>
      <w:r>
        <w:rPr>
          <w:rFonts w:ascii="Arial" w:hAnsi="Arial" w:cs="Arial"/>
          <w:color w:val="000000"/>
          <w:sz w:val="24"/>
          <w:szCs w:val="24"/>
          <w:lang w:val="en-US"/>
        </w:rPr>
        <w:t xml:space="preserve"> </w:t>
      </w:r>
      <w:r>
        <w:rPr>
          <w:rFonts w:ascii="Arial" w:hAnsi="Arial" w:cs="Arial"/>
          <w:color w:val="000000"/>
          <w:sz w:val="24"/>
          <w:szCs w:val="24"/>
        </w:rPr>
        <w:t>kinerja.</w:t>
      </w:r>
    </w:p>
    <w:p>
      <w:pPr>
        <w:pStyle w:val="15"/>
        <w:numPr>
          <w:ilvl w:val="2"/>
          <w:numId w:val="15"/>
        </w:numPr>
        <w:spacing w:after="0" w:line="360" w:lineRule="auto"/>
        <w:ind w:left="1418"/>
        <w:jc w:val="both"/>
        <w:rPr>
          <w:rFonts w:ascii="Arial" w:hAnsi="Arial" w:cs="Arial"/>
          <w:b/>
          <w:sz w:val="24"/>
          <w:szCs w:val="24"/>
          <w:lang w:val="en-US"/>
        </w:rPr>
      </w:pPr>
      <w:r>
        <w:rPr>
          <w:rFonts w:ascii="Arial" w:hAnsi="Arial" w:cs="Arial"/>
          <w:color w:val="000000"/>
          <w:sz w:val="24"/>
          <w:szCs w:val="24"/>
        </w:rPr>
        <w:t>Membimbing dan memeriksa hasil kerja bawahan dalam penyusunan dokumen anggaran sesuai masukan seksi camat, seksi dan sekretariat dan perencanaan kinerja agar dokumen sesuai dengan kebutuhan dan perencanaankinerja.</w:t>
      </w:r>
    </w:p>
    <w:p>
      <w:pPr>
        <w:pStyle w:val="15"/>
        <w:numPr>
          <w:ilvl w:val="2"/>
          <w:numId w:val="15"/>
        </w:numPr>
        <w:spacing w:after="0" w:line="360" w:lineRule="auto"/>
        <w:ind w:left="1418"/>
        <w:jc w:val="both"/>
        <w:rPr>
          <w:rFonts w:ascii="Arial" w:hAnsi="Arial" w:cs="Arial"/>
          <w:b/>
          <w:sz w:val="24"/>
          <w:szCs w:val="24"/>
          <w:lang w:val="en-US"/>
        </w:rPr>
      </w:pPr>
      <w:r>
        <w:rPr>
          <w:rFonts w:ascii="Arial" w:hAnsi="Arial" w:cs="Arial"/>
          <w:color w:val="000000"/>
          <w:sz w:val="24"/>
          <w:szCs w:val="24"/>
        </w:rPr>
        <w:t>Membimbing dan memeriksa hasil kerja bendahara sesuai juklak/juknis penatausahaan dan penyusunan laporan pertanggungjawaban bendahara untuk tertib administrasi keuangan.</w:t>
      </w:r>
    </w:p>
    <w:p>
      <w:pPr>
        <w:pStyle w:val="15"/>
        <w:numPr>
          <w:ilvl w:val="2"/>
          <w:numId w:val="15"/>
        </w:numPr>
        <w:spacing w:after="0" w:line="360" w:lineRule="auto"/>
        <w:ind w:left="1418"/>
        <w:jc w:val="both"/>
        <w:rPr>
          <w:rFonts w:ascii="Arial" w:hAnsi="Arial" w:cs="Arial"/>
          <w:b/>
          <w:sz w:val="24"/>
          <w:szCs w:val="24"/>
          <w:lang w:val="en-US"/>
        </w:rPr>
      </w:pPr>
      <w:r>
        <w:rPr>
          <w:rFonts w:ascii="Arial" w:hAnsi="Arial" w:cs="Arial"/>
          <w:color w:val="000000"/>
          <w:sz w:val="24"/>
          <w:szCs w:val="24"/>
        </w:rPr>
        <w:t>Membimbing dan mengoreksi kerja bawahan dalam penyusunan laporan keuangan sesuai dengan petunjuk teknis untuk tertib</w:t>
      </w:r>
      <w:r>
        <w:rPr>
          <w:rFonts w:ascii="Arial" w:hAnsi="Arial" w:cs="Arial"/>
          <w:color w:val="000000"/>
          <w:szCs w:val="24"/>
        </w:rPr>
        <w:t xml:space="preserve"> </w:t>
      </w:r>
      <w:r>
        <w:rPr>
          <w:rFonts w:ascii="Arial" w:hAnsi="Arial" w:cs="Arial"/>
          <w:color w:val="000000"/>
          <w:sz w:val="24"/>
          <w:szCs w:val="24"/>
        </w:rPr>
        <w:t>administrasi.</w:t>
      </w:r>
    </w:p>
    <w:p>
      <w:pPr>
        <w:pStyle w:val="15"/>
        <w:widowControl w:val="0"/>
        <w:tabs>
          <w:tab w:val="left" w:pos="709"/>
        </w:tabs>
        <w:autoSpaceDE w:val="0"/>
        <w:autoSpaceDN w:val="0"/>
        <w:spacing w:before="123" w:after="0"/>
        <w:ind w:left="709" w:right="96"/>
        <w:contextualSpacing w:val="0"/>
        <w:jc w:val="both"/>
        <w:rPr>
          <w:rFonts w:ascii="Arial" w:hAnsi="Arial" w:cs="Arial"/>
          <w:color w:val="000000"/>
          <w:szCs w:val="24"/>
        </w:rPr>
      </w:pPr>
    </w:p>
    <w:p>
      <w:pPr>
        <w:spacing w:after="0" w:line="240" w:lineRule="auto"/>
        <w:jc w:val="both"/>
        <w:rPr>
          <w:rFonts w:ascii="Arial" w:hAnsi="Arial" w:cs="Arial"/>
          <w:sz w:val="24"/>
          <w:szCs w:val="24"/>
        </w:rPr>
      </w:pPr>
      <w:r>
        <w:rPr>
          <w:rFonts w:ascii="Arial" w:hAnsi="Arial" w:cs="Arial"/>
          <w:sz w:val="24"/>
          <w:szCs w:val="24"/>
        </w:rPr>
        <w:br w:type="page"/>
      </w:r>
    </w:p>
    <w:p>
      <w:pPr>
        <w:spacing w:after="0" w:line="240" w:lineRule="auto"/>
        <w:jc w:val="center"/>
        <w:rPr>
          <w:rFonts w:ascii="Arial" w:hAnsi="Arial" w:cs="Arial"/>
          <w:b/>
          <w:sz w:val="24"/>
          <w:szCs w:val="24"/>
        </w:rPr>
      </w:pPr>
      <w:r>
        <w:rPr>
          <w:rFonts w:ascii="Arial" w:hAnsi="Arial" w:cs="Arial"/>
          <w:b/>
          <w:sz w:val="24"/>
          <w:szCs w:val="24"/>
        </w:rPr>
        <w:t>Tabel 3.5</w:t>
      </w:r>
    </w:p>
    <w:p>
      <w:pPr>
        <w:spacing w:after="0" w:line="240" w:lineRule="auto"/>
        <w:jc w:val="center"/>
        <w:rPr>
          <w:rFonts w:ascii="Arial" w:hAnsi="Arial" w:cs="Arial"/>
          <w:b/>
          <w:sz w:val="24"/>
          <w:szCs w:val="24"/>
        </w:rPr>
      </w:pPr>
      <w:r>
        <w:rPr>
          <w:rFonts w:ascii="Arial" w:hAnsi="Arial" w:cs="Arial"/>
          <w:b/>
          <w:sz w:val="24"/>
          <w:szCs w:val="24"/>
        </w:rPr>
        <w:t xml:space="preserve">Pagu dan Realisasi Anggaran Kegiatan Pendukung Sasaran </w:t>
      </w:r>
    </w:p>
    <w:p>
      <w:pPr>
        <w:spacing w:after="0" w:line="240" w:lineRule="auto"/>
        <w:rPr>
          <w:rFonts w:ascii="Arial" w:hAnsi="Arial" w:cs="Arial"/>
          <w:b/>
          <w:sz w:val="24"/>
          <w:szCs w:val="24"/>
        </w:rPr>
      </w:pPr>
    </w:p>
    <w:tbl>
      <w:tblPr>
        <w:tblStyle w:val="4"/>
        <w:tblW w:w="11090" w:type="dxa"/>
        <w:tblInd w:w="-792" w:type="dxa"/>
        <w:tblLayout w:type="fixed"/>
        <w:tblCellMar>
          <w:top w:w="0" w:type="dxa"/>
          <w:left w:w="108" w:type="dxa"/>
          <w:bottom w:w="0" w:type="dxa"/>
          <w:right w:w="108" w:type="dxa"/>
        </w:tblCellMar>
      </w:tblPr>
      <w:tblGrid>
        <w:gridCol w:w="1129"/>
        <w:gridCol w:w="1741"/>
        <w:gridCol w:w="1741"/>
        <w:gridCol w:w="1329"/>
        <w:gridCol w:w="953"/>
        <w:gridCol w:w="1056"/>
        <w:gridCol w:w="734"/>
        <w:gridCol w:w="712"/>
        <w:gridCol w:w="946"/>
        <w:gridCol w:w="749"/>
      </w:tblGrid>
      <w:tr>
        <w:tblPrEx>
          <w:tblCellMar>
            <w:top w:w="0" w:type="dxa"/>
            <w:left w:w="108" w:type="dxa"/>
            <w:bottom w:w="0" w:type="dxa"/>
            <w:right w:w="108" w:type="dxa"/>
          </w:tblCellMar>
        </w:tblPrEx>
        <w:trPr>
          <w:trHeight w:val="290" w:hRule="atLeast"/>
        </w:trPr>
        <w:tc>
          <w:tcPr>
            <w:tcW w:w="11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No</w:t>
            </w:r>
          </w:p>
        </w:tc>
        <w:tc>
          <w:tcPr>
            <w:tcW w:w="17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Sasaran Program / Kegiatan / Sub Kegiatan</w:t>
            </w:r>
          </w:p>
        </w:tc>
        <w:tc>
          <w:tcPr>
            <w:tcW w:w="17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Program / Kegiatan / Sub Kegiatan</w:t>
            </w:r>
          </w:p>
        </w:tc>
        <w:tc>
          <w:tcPr>
            <w:tcW w:w="13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Indikator Program / Kegiatan / Sub Kegiatan</w:t>
            </w:r>
          </w:p>
        </w:tc>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Satuan</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000000" w:fill="FFFFFF"/>
            <w:vAlign w:val="center"/>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Pagu</w:t>
            </w:r>
          </w:p>
        </w:tc>
        <w:tc>
          <w:tcPr>
            <w:tcW w:w="734" w:type="dxa"/>
            <w:vMerge w:val="restart"/>
            <w:tcBorders>
              <w:top w:val="single" w:color="000000" w:sz="4" w:space="0"/>
              <w:left w:val="single" w:color="000000" w:sz="4" w:space="0"/>
              <w:bottom w:val="single" w:color="000000" w:sz="4" w:space="0"/>
              <w:right w:val="single" w:color="000000" w:sz="4" w:space="0"/>
            </w:tcBorders>
            <w:shd w:val="clear" w:color="000000" w:fill="FFFFFF"/>
            <w:vAlign w:val="center"/>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Target Tahunan</w:t>
            </w:r>
          </w:p>
        </w:tc>
        <w:tc>
          <w:tcPr>
            <w:tcW w:w="2407" w:type="dxa"/>
            <w:gridSpan w:val="3"/>
            <w:tcBorders>
              <w:top w:val="single" w:color="000000" w:sz="4" w:space="0"/>
              <w:left w:val="nil"/>
              <w:bottom w:val="single" w:color="000000" w:sz="4" w:space="0"/>
              <w:right w:val="single" w:color="000000" w:sz="4" w:space="0"/>
            </w:tcBorders>
            <w:shd w:val="clear" w:color="auto" w:fill="auto"/>
            <w:vAlign w:val="center"/>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Triwulan I</w:t>
            </w:r>
          </w:p>
        </w:tc>
      </w:tr>
      <w:tr>
        <w:tblPrEx>
          <w:tblCellMar>
            <w:top w:w="0" w:type="dxa"/>
            <w:left w:w="108" w:type="dxa"/>
            <w:bottom w:w="0" w:type="dxa"/>
            <w:right w:w="108" w:type="dxa"/>
          </w:tblCellMar>
        </w:tblPrEx>
        <w:trPr>
          <w:trHeight w:val="820" w:hRule="atLeast"/>
        </w:trPr>
        <w:tc>
          <w:tcPr>
            <w:tcW w:w="1129" w:type="dxa"/>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ascii="Arial Narrow" w:hAnsi="Arial Narrow" w:eastAsia="Times New Roman" w:cs="Calibri"/>
                <w:color w:val="000000"/>
                <w:sz w:val="16"/>
                <w:szCs w:val="16"/>
                <w:lang w:val="en-US"/>
              </w:rPr>
            </w:pPr>
          </w:p>
        </w:tc>
        <w:tc>
          <w:tcPr>
            <w:tcW w:w="1741" w:type="dxa"/>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ascii="Arial Narrow" w:hAnsi="Arial Narrow" w:eastAsia="Times New Roman" w:cs="Calibri"/>
                <w:color w:val="000000"/>
                <w:sz w:val="16"/>
                <w:szCs w:val="16"/>
                <w:lang w:val="en-US"/>
              </w:rPr>
            </w:pPr>
          </w:p>
        </w:tc>
        <w:tc>
          <w:tcPr>
            <w:tcW w:w="1741" w:type="dxa"/>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ascii="Arial Narrow" w:hAnsi="Arial Narrow" w:eastAsia="Times New Roman" w:cs="Calibri"/>
                <w:color w:val="000000"/>
                <w:sz w:val="16"/>
                <w:szCs w:val="16"/>
                <w:lang w:val="en-US"/>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ascii="Arial Narrow" w:hAnsi="Arial Narrow" w:eastAsia="Times New Roman" w:cs="Calibri"/>
                <w:color w:val="000000"/>
                <w:sz w:val="16"/>
                <w:szCs w:val="16"/>
                <w:lang w:val="en-US"/>
              </w:rPr>
            </w:pPr>
          </w:p>
        </w:tc>
        <w:tc>
          <w:tcPr>
            <w:tcW w:w="953" w:type="dxa"/>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ascii="Arial Narrow" w:hAnsi="Arial Narrow" w:eastAsia="Times New Roman" w:cs="Calibri"/>
                <w:color w:val="000000"/>
                <w:sz w:val="16"/>
                <w:szCs w:val="16"/>
                <w:lang w:val="en-US"/>
              </w:rPr>
            </w:pPr>
          </w:p>
        </w:tc>
        <w:tc>
          <w:tcPr>
            <w:tcW w:w="1056" w:type="dxa"/>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ascii="Arial Narrow" w:hAnsi="Arial Narrow" w:eastAsia="Times New Roman" w:cs="Calibri"/>
                <w:color w:val="000000"/>
                <w:sz w:val="16"/>
                <w:szCs w:val="16"/>
                <w:lang w:val="en-US"/>
              </w:rPr>
            </w:pPr>
          </w:p>
        </w:tc>
        <w:tc>
          <w:tcPr>
            <w:tcW w:w="734" w:type="dxa"/>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ascii="Arial Narrow" w:hAnsi="Arial Narrow" w:eastAsia="Times New Roman" w:cs="Calibri"/>
                <w:color w:val="000000"/>
                <w:sz w:val="16"/>
                <w:szCs w:val="16"/>
                <w:lang w:val="en-US"/>
              </w:rPr>
            </w:pPr>
          </w:p>
        </w:tc>
        <w:tc>
          <w:tcPr>
            <w:tcW w:w="712" w:type="dxa"/>
            <w:tcBorders>
              <w:top w:val="nil"/>
              <w:left w:val="nil"/>
              <w:bottom w:val="single" w:color="000000" w:sz="4" w:space="0"/>
              <w:right w:val="single" w:color="000000" w:sz="4" w:space="0"/>
            </w:tcBorders>
            <w:shd w:val="clear" w:color="000000" w:fill="FFFFFF"/>
            <w:vAlign w:val="center"/>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Target Triwulan</w:t>
            </w:r>
          </w:p>
        </w:tc>
        <w:tc>
          <w:tcPr>
            <w:tcW w:w="946" w:type="dxa"/>
            <w:tcBorders>
              <w:top w:val="nil"/>
              <w:left w:val="nil"/>
              <w:bottom w:val="single" w:color="000000" w:sz="4" w:space="0"/>
              <w:right w:val="single" w:color="000000" w:sz="4" w:space="0"/>
            </w:tcBorders>
            <w:shd w:val="clear" w:color="000000" w:fill="FFFFFF"/>
            <w:vAlign w:val="center"/>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Realisasi Keuangan</w:t>
            </w:r>
          </w:p>
        </w:tc>
        <w:tc>
          <w:tcPr>
            <w:tcW w:w="749" w:type="dxa"/>
            <w:tcBorders>
              <w:top w:val="nil"/>
              <w:left w:val="nil"/>
              <w:bottom w:val="single" w:color="000000" w:sz="4" w:space="0"/>
              <w:right w:val="single" w:color="000000" w:sz="4" w:space="0"/>
            </w:tcBorders>
            <w:shd w:val="clear" w:color="auto" w:fill="auto"/>
            <w:vAlign w:val="center"/>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Realisasi Indikator</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Pelayanan Urusan Pemerintahan Daerah Kabupaten/Kota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PROGRAM PENUNJANG URUSAN PEMERINTAHAN DAERAH KABUPATEN/KOTA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Indeks Kepatuhan dan Kinerja Intern (IKKI) Kecamatan Astambul</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Indek</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2,282,840,851</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73</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382,750,341</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15</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Perencanaan, Penganggaran dan Evaluasi Kinerja perangkat daerah</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Perencanaan, Penganggaran, dan Evaluasi Kinerja Perangkat Daerah</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Dokumen Perencanaan Pengganggaran dan Evaluasi SKPD</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1,777,200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993,000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40</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7.01.01.2.01.01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Tersusunnya Dokumen Perencanaan Perangkat Daerah</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Penyusunan Dokumen Perencanaan Perangkat Daerah</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Dokumen Perencanaan Perangkat Daerah</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Dokumen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242,000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13</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13</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242,000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13</w:t>
            </w:r>
          </w:p>
        </w:tc>
      </w:tr>
      <w:tr>
        <w:tblPrEx>
          <w:tblCellMar>
            <w:top w:w="0" w:type="dxa"/>
            <w:left w:w="108" w:type="dxa"/>
            <w:bottom w:w="0" w:type="dxa"/>
            <w:right w:w="108" w:type="dxa"/>
          </w:tblCellMar>
        </w:tblPrEx>
        <w:trPr>
          <w:trHeight w:val="10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7.01.01.2.01.07</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Evaluasi Kinerja Perangkat Daerah</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Evaluasi Kinerja Perangkat Daerah</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Laporan Evaluasi Kinerja Perangkat Daerah Hasil Koordinasi Penyusunan Dokumen DPA- SKPD"</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Laporan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1,535,200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22</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11</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751,000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11</w:t>
            </w:r>
          </w:p>
        </w:tc>
      </w:tr>
      <w:tr>
        <w:tblPrEx>
          <w:tblCellMar>
            <w:top w:w="0" w:type="dxa"/>
            <w:left w:w="108" w:type="dxa"/>
            <w:bottom w:w="0" w:type="dxa"/>
            <w:right w:w="108" w:type="dxa"/>
          </w:tblCellMar>
        </w:tblPrEx>
        <w:trPr>
          <w:trHeight w:val="42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7.01.01.2.02</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administrasi keuangan perangkat daerah</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Administrasi Keuangan Perangkat Daerah</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Administrasi Keuangan Perangkat Daerah</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1,890,410,851</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313,739,149</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20</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7.01.01.2.02.01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Tersedianya Gaji dan Tunjangan ASN</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Penyediaan Gaji dan Tunjangan ASN</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Orang yang Menerima Gaji dan Tunjangan ASN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Orang/Bulan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1,848,770,851</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15</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303,929,149</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7.01.01.2.02.03</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Penatausahaan dan Pengujian/Verifikasi Keuangan SKPD</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Pelaksanaan Penatausahaan dan Pengujian/Verifikasi Keuangan SKPD</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Dokumen Penatausahaan dan Pengujian/Verifikasi Keuangan SKPD</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Dokumen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41,640,000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9,810,000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100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7.01.01.2.02.05</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 </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Koordinasi dan Penyusunan Laporan Keuangan Akhir Tahun SKPD</w:t>
            </w:r>
          </w:p>
        </w:tc>
        <w:tc>
          <w:tcPr>
            <w:tcW w:w="1329" w:type="dxa"/>
            <w:tcBorders>
              <w:top w:val="nil"/>
              <w:left w:val="nil"/>
              <w:bottom w:val="single" w:color="000000" w:sz="4" w:space="0"/>
              <w:right w:val="single" w:color="000000" w:sz="4" w:space="0"/>
            </w:tcBorders>
            <w:shd w:val="clear" w:color="auto" w:fill="auto"/>
            <w:vAlign w:val="bottom"/>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 </w:t>
            </w:r>
          </w:p>
        </w:tc>
        <w:tc>
          <w:tcPr>
            <w:tcW w:w="953" w:type="dxa"/>
            <w:tcBorders>
              <w:top w:val="nil"/>
              <w:left w:val="nil"/>
              <w:bottom w:val="single" w:color="000000" w:sz="4" w:space="0"/>
              <w:right w:val="single" w:color="000000" w:sz="4" w:space="0"/>
            </w:tcBorders>
            <w:shd w:val="clear" w:color="auto" w:fill="auto"/>
            <w:vAlign w:val="bottom"/>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 </w:t>
            </w:r>
          </w:p>
        </w:tc>
        <w:tc>
          <w:tcPr>
            <w:tcW w:w="1056" w:type="dxa"/>
            <w:tcBorders>
              <w:top w:val="nil"/>
              <w:left w:val="nil"/>
              <w:bottom w:val="single" w:color="000000" w:sz="4" w:space="0"/>
              <w:right w:val="single" w:color="000000" w:sz="4" w:space="0"/>
            </w:tcBorders>
            <w:shd w:val="clear" w:color="000000" w:fill="FFFFFF"/>
            <w:vAlign w:val="bottom"/>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 </w:t>
            </w:r>
          </w:p>
        </w:tc>
        <w:tc>
          <w:tcPr>
            <w:tcW w:w="734" w:type="dxa"/>
            <w:tcBorders>
              <w:top w:val="nil"/>
              <w:left w:val="nil"/>
              <w:bottom w:val="single" w:color="000000" w:sz="4" w:space="0"/>
              <w:right w:val="single" w:color="000000" w:sz="4" w:space="0"/>
            </w:tcBorders>
            <w:shd w:val="clear" w:color="000000" w:fill="FFFFFF"/>
            <w:vAlign w:val="bottom"/>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 </w:t>
            </w:r>
          </w:p>
        </w:tc>
        <w:tc>
          <w:tcPr>
            <w:tcW w:w="712" w:type="dxa"/>
            <w:tcBorders>
              <w:top w:val="nil"/>
              <w:left w:val="nil"/>
              <w:bottom w:val="single" w:color="000000" w:sz="4" w:space="0"/>
              <w:right w:val="single" w:color="000000" w:sz="4" w:space="0"/>
            </w:tcBorders>
            <w:shd w:val="clear" w:color="000000" w:fill="FFFFFF"/>
            <w:vAlign w:val="bottom"/>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 </w:t>
            </w:r>
          </w:p>
        </w:tc>
        <w:tc>
          <w:tcPr>
            <w:tcW w:w="946" w:type="dxa"/>
            <w:tcBorders>
              <w:top w:val="nil"/>
              <w:left w:val="nil"/>
              <w:bottom w:val="single" w:color="000000" w:sz="4" w:space="0"/>
              <w:right w:val="single" w:color="000000" w:sz="4" w:space="0"/>
            </w:tcBorders>
            <w:shd w:val="clear" w:color="000000" w:fill="FFFFFF"/>
            <w:vAlign w:val="bottom"/>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 </w:t>
            </w:r>
          </w:p>
        </w:tc>
        <w:tc>
          <w:tcPr>
            <w:tcW w:w="749" w:type="dxa"/>
            <w:tcBorders>
              <w:top w:val="nil"/>
              <w:left w:val="nil"/>
              <w:bottom w:val="single" w:color="000000" w:sz="4" w:space="0"/>
              <w:right w:val="single" w:color="000000" w:sz="4" w:space="0"/>
            </w:tcBorders>
            <w:shd w:val="clear" w:color="auto" w:fill="auto"/>
            <w:vAlign w:val="bottom"/>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 </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7.01.01.2.05</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administrasi kepegawaian perangkat daerah</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Administrasi Kepegawaian Perangkat Daerah</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Administrasi Kepegawaian yang terpenuhi</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690,000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7.01.01.2.05.05</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Monitoring, Evaluasi, dan Penilaian Kinerja Pegawai</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Monitoring, Evaluasi, dan Penilaian Kinerja Pegawai</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Dokumen Monitoring, Evaluasi, dan Penilaian Kinerja Pegawai</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Dokumen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690,000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42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7.01.01.2.06</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administrasi umum perangkat daerah</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Administrasi Umum Perangkat Daerah</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Administrasi Umum Perangkat Daerah</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86,653,900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14,193,230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25</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7.01.01.2.06.01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Tersedianya Komponen Instalasi Listrik/Penerangan Bangunan Kantor</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Penyediaan Komponen Instalasi Listrik/Penerangan Bangunan Kantor</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Paket Komponen Instalasi Listrik/Penerangan Bangunan Kantor yang Disediakan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Paket</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597,000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171,000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7.01.01.2.06.02</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Tersedianya Peralatan dan Perlengkapan Kantor</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Penyediaan Peralatan dan Perlengkapan Kantor</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Paket Peralatan dan Perlengkapan Kantor yang Disediakan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Paket</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1,102,000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45</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327,000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20</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7.01.01.2.06.04</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Tersedianya Bahan Logistik Kantor</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Penyediaan Bahan Logistik Kantor</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Paket Bahan Logistik Kantor yang disediakan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Paket</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13,240,900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2,985,500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7.01.01.2.06.05</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Tersedianya Barang Cetakan dan Penggandaan</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Penyediaan Barang Cetakan dan Penggandaan</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Paket Barang Cetakan dan Penggandaan yang Disediakan"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Paket</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2,714,000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7.01.01.2.06.09</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Penyelenggaraan Rapat Koordinasi dan Konsultasi SKPD</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Penyelenggaraan Rapat Koordinasi dan Konsultasi SKPD</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Laporan Penyelenggaraan Rapat Koordinasi dan Konsultasi SKPD</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Laporan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69,000,000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10,609,730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7.01.01.2.07</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Pengadaan Barang Milik Daerah Penunjang Urusan Pemerintah Daerah</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Pengadaan Barang Milik Daerah Penunjang Urusan Pemerintah Daerah</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Pengadaan BMD Penunjang Urusan Daerah</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22,247,000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7.01.01.2.07.06</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Tersedianya Peralatan dan Mesin Lainnya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Pengadaan Peralatan dan Mesin Lainnya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Unit Peralatan dan Mesin Lainnya yang Disediakan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Unit</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22,247,000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7.01.01.2.08</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jasa penunjang pelayanan umum kantor</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Penyediaan Jasa Penunjang Urusan Pemerintahan Daerah</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Jasa Penunjang Urusan Pemerintah Daerah</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226,974,000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44,479,962</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42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7.01.01.2.08.01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Penyediaan Jasa Surat Menyurat</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Penyediaan Jasa Surat Menyurat</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Laporan Penyediaan Jasa Surat Menyurat</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Laporan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500,000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7.01.01.2.08.02</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Tersedianya Jasa Komunikasi, Sumber Daya Air dan Listrik</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Penyediaan Jasa Komunikasi, Sumber Daya Air dan Listrik</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Laporan Penyediaan Jasa Komunikasi, Sumber Daya Air dan Listrik yang Disediakan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Laporan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41,224,000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12</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2,465,617</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7.01.01.2.08.04</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Tersedianya Jasa Pelayanan Umum Kantor</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Penyediaan Jasa Pelayanan Umum Kantor</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Laporan Penyediaan Jasa Pelayanan Umum Kantor yang Disediakan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Laporan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184,750,000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12</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41,514,345</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7.01.01.2.09</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Pemeliharaan Barang Milik Daerah Penunjang Urusan Pemerintahan Daerah</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Pemeliharaan Barang Milik Daerah Penunjang Urusan Pemerintahan Daerah</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Pemeliharaan BMD Penunjang Urusan Perangkat Daerah</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54,087,900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9,345,000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10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7.01.01.2.09.02</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Tersedianya Jasa Pemeliharaan, Biaya Pemeliharaan, Pajak dan Perizinan Kendaraan Dinas Operasional atau Lapangan</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Penyediaan Jasa Pemeliharaan, Biaya Pemeliharaan, Pajak dan Perizinan Kendaraan Dinas Operasional atau Lapangan</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Kendaraan Dinas Operasional atau Lapangan yang Dipelihara dan dibayarkan Pajak dan Perizinannya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Unit</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43,733,900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9,345,000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r>
      <w:tr>
        <w:tblPrEx>
          <w:tblCellMar>
            <w:top w:w="0" w:type="dxa"/>
            <w:left w:w="108" w:type="dxa"/>
            <w:bottom w:w="0" w:type="dxa"/>
            <w:right w:w="108" w:type="dxa"/>
          </w:tblCellMar>
        </w:tblPrEx>
        <w:trPr>
          <w:trHeight w:val="42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7.01.01.2.09.06</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Pemeliharaan Peralatan dan Mesin Lainnya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Pemeliharaan Peralatan dan Mesin Lainnya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Peralatan dan Mesin Lainnya yang dipelihara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Unit</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8,000,000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7.01.01.2.09.09</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Pemeliharaan/Rehabilitasi Gedung Kantor dan Bangunan Lainnya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Pemeliharaan/Rehabilitasi Gedung Kantor dan Bangunan Lainnya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Gedung Kantor dan Bangunan Lainnya yang Dipelihara/Direhabilitasi</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Unit</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2,354,000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10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7.01.02</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pemerintahan dan pelayanan publik</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PROGRAM PENYELENGGARAAN PEMERINTAHAN DAN PELAYANAN PUBLIK</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Fasilitasi Kewenangan Pemerlu Pelayanan Kesejahteraan Sosial dan Kebencanaan Kecamatan Yang Terlaksana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18,170,000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4,275,000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25</w:t>
            </w:r>
          </w:p>
        </w:tc>
      </w:tr>
      <w:tr>
        <w:tblPrEx>
          <w:tblCellMar>
            <w:top w:w="0" w:type="dxa"/>
            <w:left w:w="108" w:type="dxa"/>
            <w:bottom w:w="0" w:type="dxa"/>
            <w:right w:w="108" w:type="dxa"/>
          </w:tblCellMar>
        </w:tblPrEx>
        <w:trPr>
          <w:trHeight w:val="126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7.01.02.2.04</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Urusan Pemerintahan yang tidak Dilaksanakan oleh Unit Kerja Perangkat Daerah yang ada di Kecamatan</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Pelaksanaan Urusan Pemerintahan yang Dilimpahkan kepada Camat</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Penyelenggaraan Urusan Pemerintahan yang tidak Dilaksanakan oleh Unit Kerja Perangkat Daerah yang ada di Kecamatan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18,170,000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4,275,000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20</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7.01.02.2.04.03</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Urusan Pemerintahan yang Terkait dengan Kewenangan Lain yang Dilimpahkan</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Pelaksanaan Urusan Pemerintahan yang Terkait dengan Kewenangan Lain yang Dilimpahkan</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Laporan Pelaksanaan Kewenangan Lain yang Dilimpahkan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Laporan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18,170,000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5</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4,275,000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7.01.03</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Terselenggarnya Koordinasi dan Fasilitasi Kegiatan Pemberdayaan Masyarakat di Kecamatan</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PROGRAM PEMBERDAYAAN MASYARAKAT DESA DAN KELURAHAN</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Koordinasi dan Fasilitasi Kegiatan Pemberdayaan Masyarakat di Kecamatan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57,874,000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23,929,000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25</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7.01.03.2.01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Koordinasi Kegiatan Pemberdayaan Desa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Koordinasi Kegiatan Pemberdayaan Desa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Koordinasi Pemberdayaan Masyarakat Desa yang Terlaksana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57,874,000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23,929,000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25</w:t>
            </w:r>
          </w:p>
        </w:tc>
      </w:tr>
      <w:tr>
        <w:tblPrEx>
          <w:tblCellMar>
            <w:top w:w="0" w:type="dxa"/>
            <w:left w:w="108" w:type="dxa"/>
            <w:bottom w:w="0" w:type="dxa"/>
            <w:right w:w="108" w:type="dxa"/>
          </w:tblCellMar>
        </w:tblPrEx>
        <w:trPr>
          <w:trHeight w:val="10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7.01.03.2.01.01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Meningkatnya Partisipasi Masyarakat dalam Forum Musyawarah Perencanaan Pembangunan di Desa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Peningkatan Partisipasi Masyarakat dalam Forum Musyawarah Perencanaan Pembangunan di Desa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Lembaga Kemasyarakatan yang Berpartisipasi dalam Forum Musyawarah Perencanaan Pembangunan di Desa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Lembaga</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17,294,000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13,817,000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w:t>
            </w:r>
          </w:p>
        </w:tc>
      </w:tr>
      <w:tr>
        <w:tblPrEx>
          <w:tblCellMar>
            <w:top w:w="0" w:type="dxa"/>
            <w:left w:w="108" w:type="dxa"/>
            <w:bottom w:w="0" w:type="dxa"/>
            <w:right w:w="108" w:type="dxa"/>
          </w:tblCellMar>
        </w:tblPrEx>
        <w:trPr>
          <w:trHeight w:val="10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7.01.03.2.01.03</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Meningkatnya Efektifitas Kegiatan Pemberdayaan Masyarakat di Wilayah Kecamatan</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Peningkatan Efektifitas Kegiatan Pemberdayaan Masyarakat di Wilayah Kecamatan</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Laporan Peningkatan Efektivitas Kegiatan Pemberdayaan Masyarakat di Wilayah Kecamatan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Laporan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40,580,000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10,112,000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r>
      <w:tr>
        <w:tblPrEx>
          <w:tblCellMar>
            <w:top w:w="0" w:type="dxa"/>
            <w:left w:w="108" w:type="dxa"/>
            <w:bottom w:w="0" w:type="dxa"/>
            <w:right w:w="108" w:type="dxa"/>
          </w:tblCellMar>
        </w:tblPrEx>
        <w:trPr>
          <w:trHeight w:val="10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7.01.04</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Koordinasi Ketentraman Dan Ketertiban Umum</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PROGRAM KOORDINASI KETENTRAMAN DAN KETERTIBAN UMUM</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Koordinasi dan Fasilitasi Penyelenggaraan ketentraman dan ketertiban umum serta perlindungan masyarakat di kecamatan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12,484,000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1,718,000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20</w:t>
            </w:r>
          </w:p>
        </w:tc>
      </w:tr>
      <w:tr>
        <w:tblPrEx>
          <w:tblCellMar>
            <w:top w:w="0" w:type="dxa"/>
            <w:left w:w="108" w:type="dxa"/>
            <w:bottom w:w="0" w:type="dxa"/>
            <w:right w:w="108" w:type="dxa"/>
          </w:tblCellMar>
        </w:tblPrEx>
        <w:trPr>
          <w:trHeight w:val="10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7.01.04.2.01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Koordinasi Upaya Penyelenggaraan Ketenteraman dan Ketertiban Umum</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Koordinasi Upaya Penyelenggaraan Ketenteraman dan Ketertiban Umum</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Penyelenggaraan Ketenteraman dan Ketertiban Umum di Kecamatan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9,884,000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1,718,000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20</w:t>
            </w:r>
          </w:p>
        </w:tc>
      </w:tr>
      <w:tr>
        <w:tblPrEx>
          <w:tblCellMar>
            <w:top w:w="0" w:type="dxa"/>
            <w:left w:w="108" w:type="dxa"/>
            <w:bottom w:w="0" w:type="dxa"/>
            <w:right w:w="108" w:type="dxa"/>
          </w:tblCellMar>
        </w:tblPrEx>
        <w:trPr>
          <w:trHeight w:val="147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7.01.04.2.01.01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Sinergitas dengan Kepolisian Negara Republik Indonesia, Tentara Nasional Indonesia dan Instansi Vertikal di Wilayah Kecamatan</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Sinergitas dengan Kepolisian Negara Republik Indonesia, Tentara Nasional Indonesia dan Instansi Vertikal di Wilayah Kecamatan</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Laporan Hasil Sinergitas dengan Kepolisian Negara Republik Indonesia, Tentara Nasional Indonesia dan Instansi Vertikal di Wilayah Kecamatan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Laporan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8,269,000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1,718,000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r>
      <w:tr>
        <w:tblPrEx>
          <w:tblCellMar>
            <w:top w:w="0" w:type="dxa"/>
            <w:left w:w="108" w:type="dxa"/>
            <w:bottom w:w="0" w:type="dxa"/>
            <w:right w:w="108" w:type="dxa"/>
          </w:tblCellMar>
        </w:tblPrEx>
        <w:trPr>
          <w:trHeight w:val="10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7.01.04.2.01.02</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Harmonisasi Hubungan dengan Tokoh Agama dan Tokoh Masyarakat</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Harmonisasi Hubungan dengan Tokoh Agama dan Tokoh Masyarakat</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Laporan Pelaksanaan Harmonisasi Hubungan dengan Tokoh Agama dan Tokoh Masyarakat</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Laporan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1,615,000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7.01.04.2.02</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Koordinasi Penerapan dan Penegakan Peraturan Daerah dan Peraturan Kepala Daerah</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Koordinasi Penerapan dan Penegakan Peraturan Daerah dan Peraturan Kepala Daerah</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Koordinasi Penerapan dan Penegakkan Peraturan Daerah Yang Terfasilitasi</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2,600,000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189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7.01.04.2.02.01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Koordinasi/Sinergi dengan Perangkat Daerah yang Tugas dan Fungsinya di Bidang Penegakan Peraturan Perundang- Undangan dan/atau Kepolisian Negara Republik Indonesia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Koordinasi/Sinergi dengan Perangkat Daerah yang Tugas dan Fungsinya di Bidang Penegakan Peraturan Perundang-Undangan dan/atau Kepolisian Negara Republik Indonesia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Laporan Koordinasi/Sinergi dengan Perangkat Daerah yang Tugas dan Fungsinya di Bidang Penegakan Peraturan Perundang- Undangan dan/atau Kepolisian Negara Republik Indonesia"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Laporan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2,600,000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7.01.05</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Pelayanan Pemerintahan Umum</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PROGRAM PENYELENGGARAAN URUSAN PEMERINTAHAN UMUM</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Penyelenggaraan Urusan Pemerintahan Umum</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92,752,000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17,150,000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w:t>
            </w:r>
          </w:p>
        </w:tc>
      </w:tr>
      <w:tr>
        <w:tblPrEx>
          <w:tblCellMar>
            <w:top w:w="0" w:type="dxa"/>
            <w:left w:w="108" w:type="dxa"/>
            <w:bottom w:w="0" w:type="dxa"/>
            <w:right w:w="108" w:type="dxa"/>
          </w:tblCellMar>
        </w:tblPrEx>
        <w:trPr>
          <w:trHeight w:val="10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7.01.05.2.01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Urusan Pemerintahan Umum sesuai Penugasan Kepala Daerah</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Penyelenggaraan Urusan Pemerintahan Umum Sesuai Penugasan Kepala Daerah</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Penyelenggaraan Urusan Pemerintahan Umum sesuai Penugasan Kepala Daerah yang Terfasilitasi</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92,752,000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17,150,000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25</w:t>
            </w:r>
          </w:p>
        </w:tc>
      </w:tr>
      <w:tr>
        <w:tblPrEx>
          <w:tblCellMar>
            <w:top w:w="0" w:type="dxa"/>
            <w:left w:w="108" w:type="dxa"/>
            <w:bottom w:w="0" w:type="dxa"/>
            <w:right w:w="108" w:type="dxa"/>
          </w:tblCellMar>
        </w:tblPrEx>
        <w:trPr>
          <w:trHeight w:val="31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7.01.05.2.01.01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Pembinaan Wawasan Kebangsaan dan Ketahanan Nasional dalam rangka Memantapkan Pengamalan Pancasila, Pelaksanaan Undang-Undang Dasar Negara Republik Indonesia Tahun 1945, Pelestarian Bhinneka Tunggal Ika serta Pemertahanan dan Pemeliharaan Keu</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Pembinaan Wawasan Kebangsaan dan Ketahanan Nasional dalam rangka Memantapkan Pengamalan Pancasila, Pelaksanaan Undang-Undang Dasar Negara Republik Indonesia Tahun 1945, Pelestarian Bhinneka Tunggal Ika serta Pemertahanan dan Pemeliharaan Keutuhan Negara Kesatuan Republik Indonesia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Orang yang Mengikuti Pembinaan Wawasan Kebangsaan dan Ketahanan Nasional dalam rangka Memantapkan Pengamalan Pancasila, Pelaksanaan Undang-Undang Dasar Negara Republik Indonesia Tahun 1945, Pelestarian Bhinneka Tunggal Ika serta Pemertahanan dan Pemeliharaan Keutuhan Negara Kesatuan Republik Indonesia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Orang</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23,575,000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126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7.01.05.2.01.07</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Semua Urusan Pemerintahan yang Bukan Merupakan Kewenangan Daerah dan Tidak Dilaksanakan oleh Instansi Vertikal</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Pelaksanaan Semua Urusan Pemerintahan yang Bukan Merupakan Kewenangan Daerah dan Tidak Dilaksanakan oleh Instansi Vertikal</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Dokumen Semua Urusan Pemerintahan yang Bukan Merupakan Kewenangan Daerah dan Tidak Dilaksanakan oleh Instansi Vertikal</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Dokumen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40,800,000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10,100,000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7.01.05.2.01.08</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Semua Tugas Forum Koordinasi Pimpinan di Kecamatan</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Pelaksanaan Tugas Forum Koordinasi Pimpinan di Kecamatan</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Forum Koordinasi Pimpinan di Kecamatan</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Kegiatan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28,377,000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12</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7,050,000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7.01.06</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pembinaan dan pengawasan pemerintahan desa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PROGRAM PEMBINAAN DAN PENGAWASAN PEMERINTAHAN DESA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fasilitasi pembinaan dan pengawasan pemerintahan desa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10,350,000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2,850,000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25</w:t>
            </w:r>
          </w:p>
        </w:tc>
      </w:tr>
      <w:tr>
        <w:tblPrEx>
          <w:tblCellMar>
            <w:top w:w="0" w:type="dxa"/>
            <w:left w:w="108" w:type="dxa"/>
            <w:bottom w:w="0" w:type="dxa"/>
            <w:right w:w="108" w:type="dxa"/>
          </w:tblCellMar>
        </w:tblPrEx>
        <w:trPr>
          <w:trHeight w:val="10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7.01.06.2.01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Terselenggaranya Fasilitasi, Rekomendasi dan Koordinasi Pembinaan dan Pengawasan Pemerintahan Desa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Fasilitasi, Rekomendasi dan Koordinasi Pembinaan dan Pengawasan Pemerintahan Desa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Persentase Kegiatan Fasilitasi, Rekomendasi dan Koordinasi Pembinaan dan Pengawasan Pemerintahan Desa yang Terlaksana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Persen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10,350,000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100</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2,850,000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25</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7.01.06.2.01.01</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Fasilitasi Penyusunan Peraturan Desa dan Peraturan Kepala Desa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Fasilitasi Penyusunan Peraturan Desa dan Peraturan Kepala Desa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Kegiatan Fasilitasi Penyusunan Peraturan Desa dan Peraturan Kepala Desa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Dokumen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1,750,000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1,750,000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r>
      <w:tr>
        <w:tblPrEx>
          <w:tblCellMar>
            <w:top w:w="0" w:type="dxa"/>
            <w:left w:w="108" w:type="dxa"/>
            <w:bottom w:w="0" w:type="dxa"/>
            <w:right w:w="108" w:type="dxa"/>
          </w:tblCellMar>
        </w:tblPrEx>
        <w:trPr>
          <w:trHeight w:val="105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7.01.06.2.01.03</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Fasilitasi Pengelolaan Keuangan Desa dan Pendayagunaan Aset Desa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Fasilitasi Pengelolaan Keuangan Desa dan Pendayagunaan Aset Desa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Dokumen yang Difasilitasi dalam rangka Pengelolaan Keuangan Desa dan Pendayagunaan Aset Desa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Dokumen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3,000,000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7.01.06.2.01.05</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Fasilitasi Pelaksanaan Tugas Kepala Desa dan Perangkat Desa</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Fasilitasi Pelaksanaan Tugas Kepala Desa dan Perangkat Desa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Dokumen Fasilitasi dalam rangka Pelaksanaan Tugas Kepala Desa dan Perangkat Desa"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Dokumen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1,250,000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840" w:hRule="atLeast"/>
        </w:trPr>
        <w:tc>
          <w:tcPr>
            <w:tcW w:w="1129" w:type="dxa"/>
            <w:tcBorders>
              <w:top w:val="nil"/>
              <w:left w:val="single" w:color="000000" w:sz="4" w:space="0"/>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7.01.06.2.01.07</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Fasilitasi Pelaksanaan Tugas dan Fungsi Badan Permusyawaratan Des</w:t>
            </w:r>
          </w:p>
        </w:tc>
        <w:tc>
          <w:tcPr>
            <w:tcW w:w="1741"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Fasilitasi Pelaksanaan Tugas dan Fungsi Badan Permusyawaratan Desa</w:t>
            </w:r>
          </w:p>
        </w:tc>
        <w:tc>
          <w:tcPr>
            <w:tcW w:w="1329" w:type="dxa"/>
            <w:tcBorders>
              <w:top w:val="nil"/>
              <w:left w:val="nil"/>
              <w:bottom w:val="single" w:color="000000" w:sz="4" w:space="0"/>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Dokumen Fasilitasi Pelaksanaan Tugas dan Fungsi Badan Permusyawaratan Desa</w:t>
            </w:r>
          </w:p>
        </w:tc>
        <w:tc>
          <w:tcPr>
            <w:tcW w:w="953"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Dokumen</w:t>
            </w:r>
          </w:p>
        </w:tc>
        <w:tc>
          <w:tcPr>
            <w:tcW w:w="105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2,200,000</w:t>
            </w:r>
          </w:p>
        </w:tc>
        <w:tc>
          <w:tcPr>
            <w:tcW w:w="734"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nil"/>
              <w:left w:val="nil"/>
              <w:bottom w:val="single" w:color="000000" w:sz="4" w:space="0"/>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nil"/>
              <w:left w:val="nil"/>
              <w:bottom w:val="single" w:color="000000" w:sz="4" w:space="0"/>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nil"/>
              <w:left w:val="nil"/>
              <w:bottom w:val="single" w:color="000000" w:sz="4" w:space="0"/>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r>
        <w:tblPrEx>
          <w:tblCellMar>
            <w:top w:w="0" w:type="dxa"/>
            <w:left w:w="108" w:type="dxa"/>
            <w:bottom w:w="0" w:type="dxa"/>
            <w:right w:w="108" w:type="dxa"/>
          </w:tblCellMar>
        </w:tblPrEx>
        <w:trPr>
          <w:trHeight w:val="630" w:hRule="atLeast"/>
        </w:trPr>
        <w:tc>
          <w:tcPr>
            <w:tcW w:w="1129" w:type="dxa"/>
            <w:tcBorders>
              <w:top w:val="nil"/>
              <w:left w:val="single" w:color="000000" w:sz="4" w:space="0"/>
              <w:bottom w:val="nil"/>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7.01.06.2.01.08</w:t>
            </w:r>
          </w:p>
        </w:tc>
        <w:tc>
          <w:tcPr>
            <w:tcW w:w="1741" w:type="dxa"/>
            <w:tcBorders>
              <w:top w:val="nil"/>
              <w:left w:val="nil"/>
              <w:bottom w:val="nil"/>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Pengangkatan dan Pemberhentian Perangkat Desa</w:t>
            </w:r>
          </w:p>
        </w:tc>
        <w:tc>
          <w:tcPr>
            <w:tcW w:w="1741" w:type="dxa"/>
            <w:tcBorders>
              <w:top w:val="nil"/>
              <w:left w:val="nil"/>
              <w:bottom w:val="nil"/>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Rekomendasi Pengangkatan dan Pemberhentian Perangkat Desa</w:t>
            </w:r>
          </w:p>
        </w:tc>
        <w:tc>
          <w:tcPr>
            <w:tcW w:w="1329" w:type="dxa"/>
            <w:tcBorders>
              <w:top w:val="nil"/>
              <w:left w:val="nil"/>
              <w:bottom w:val="nil"/>
              <w:right w:val="single" w:color="000000"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Pengangkatan dan Pemberhentian Perangkat Desa</w:t>
            </w:r>
          </w:p>
        </w:tc>
        <w:tc>
          <w:tcPr>
            <w:tcW w:w="953" w:type="dxa"/>
            <w:tcBorders>
              <w:top w:val="nil"/>
              <w:left w:val="nil"/>
              <w:bottom w:val="nil"/>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Dokumen</w:t>
            </w:r>
          </w:p>
        </w:tc>
        <w:tc>
          <w:tcPr>
            <w:tcW w:w="1056" w:type="dxa"/>
            <w:tcBorders>
              <w:top w:val="nil"/>
              <w:left w:val="nil"/>
              <w:bottom w:val="nil"/>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1,100,000</w:t>
            </w:r>
          </w:p>
        </w:tc>
        <w:tc>
          <w:tcPr>
            <w:tcW w:w="734" w:type="dxa"/>
            <w:tcBorders>
              <w:top w:val="nil"/>
              <w:left w:val="nil"/>
              <w:bottom w:val="nil"/>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nil"/>
              <w:left w:val="nil"/>
              <w:bottom w:val="nil"/>
              <w:right w:val="single" w:color="000000"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946" w:type="dxa"/>
            <w:tcBorders>
              <w:top w:val="nil"/>
              <w:left w:val="nil"/>
              <w:bottom w:val="nil"/>
              <w:right w:val="single" w:color="000000"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1,100,000</w:t>
            </w:r>
          </w:p>
        </w:tc>
        <w:tc>
          <w:tcPr>
            <w:tcW w:w="749" w:type="dxa"/>
            <w:tcBorders>
              <w:top w:val="nil"/>
              <w:left w:val="nil"/>
              <w:bottom w:val="nil"/>
              <w:right w:val="single" w:color="000000"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r>
      <w:tr>
        <w:tblPrEx>
          <w:tblCellMar>
            <w:top w:w="0" w:type="dxa"/>
            <w:left w:w="108" w:type="dxa"/>
            <w:bottom w:w="0" w:type="dxa"/>
            <w:right w:w="108" w:type="dxa"/>
          </w:tblCellMar>
        </w:tblPrEx>
        <w:trPr>
          <w:trHeight w:val="1260" w:hRule="atLeast"/>
        </w:trPr>
        <w:tc>
          <w:tcPr>
            <w:tcW w:w="1129" w:type="dxa"/>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7.01.06.2.01.15</w:t>
            </w:r>
          </w:p>
        </w:tc>
        <w:tc>
          <w:tcPr>
            <w:tcW w:w="1741" w:type="dxa"/>
            <w:tcBorders>
              <w:top w:val="single" w:color="auto" w:sz="4" w:space="0"/>
              <w:left w:val="nil"/>
              <w:bottom w:val="single" w:color="auto" w:sz="4" w:space="0"/>
              <w:right w:val="single" w:color="auto"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Terlaksananya Pelaksanaan Tugas dan Fungsi Badan Permusyawaratan Desa</w:t>
            </w:r>
          </w:p>
        </w:tc>
        <w:tc>
          <w:tcPr>
            <w:tcW w:w="1741" w:type="dxa"/>
            <w:tcBorders>
              <w:top w:val="single" w:color="auto" w:sz="4" w:space="0"/>
              <w:left w:val="nil"/>
              <w:bottom w:val="single" w:color="auto" w:sz="4" w:space="0"/>
              <w:right w:val="single" w:color="auto"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Fasilitasi Penataan, Pemanfaatan, dan Pendayagunaan Ruang Desa serta Penetapan dan Penegasan Batas Desa</w:t>
            </w:r>
          </w:p>
        </w:tc>
        <w:tc>
          <w:tcPr>
            <w:tcW w:w="1329" w:type="dxa"/>
            <w:tcBorders>
              <w:top w:val="single" w:color="auto" w:sz="4" w:space="0"/>
              <w:left w:val="nil"/>
              <w:bottom w:val="single" w:color="auto" w:sz="4" w:space="0"/>
              <w:right w:val="single" w:color="auto" w:sz="4" w:space="0"/>
            </w:tcBorders>
            <w:shd w:val="clear" w:color="auto" w:fill="auto"/>
          </w:tcPr>
          <w:p>
            <w:pPr>
              <w:spacing w:after="0" w:line="240" w:lineRule="auto"/>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"Jumlah Dokumen Fasilitasi dalam rangka Penataan, Pemanfaatan, dan Pendayagunaan Ruang Desa serta Penetapan dan Penegasan Batas Desa"</w:t>
            </w:r>
          </w:p>
        </w:tc>
        <w:tc>
          <w:tcPr>
            <w:tcW w:w="953" w:type="dxa"/>
            <w:tcBorders>
              <w:top w:val="single" w:color="auto" w:sz="4" w:space="0"/>
              <w:left w:val="nil"/>
              <w:bottom w:val="single" w:color="auto" w:sz="4" w:space="0"/>
              <w:right w:val="single" w:color="auto"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Dokumen</w:t>
            </w:r>
          </w:p>
        </w:tc>
        <w:tc>
          <w:tcPr>
            <w:tcW w:w="1056" w:type="dxa"/>
            <w:tcBorders>
              <w:top w:val="single" w:color="auto" w:sz="4" w:space="0"/>
              <w:left w:val="nil"/>
              <w:bottom w:val="single" w:color="auto" w:sz="4" w:space="0"/>
              <w:right w:val="single" w:color="auto"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1,050,000</w:t>
            </w:r>
          </w:p>
        </w:tc>
        <w:tc>
          <w:tcPr>
            <w:tcW w:w="734" w:type="dxa"/>
            <w:tcBorders>
              <w:top w:val="single" w:color="auto" w:sz="4" w:space="0"/>
              <w:left w:val="nil"/>
              <w:bottom w:val="single" w:color="auto" w:sz="4" w:space="0"/>
              <w:right w:val="single" w:color="auto"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1</w:t>
            </w:r>
          </w:p>
        </w:tc>
        <w:tc>
          <w:tcPr>
            <w:tcW w:w="712" w:type="dxa"/>
            <w:tcBorders>
              <w:top w:val="single" w:color="auto" w:sz="4" w:space="0"/>
              <w:left w:val="nil"/>
              <w:bottom w:val="single" w:color="auto" w:sz="4" w:space="0"/>
              <w:right w:val="single" w:color="auto" w:sz="4" w:space="0"/>
            </w:tcBorders>
            <w:shd w:val="clear" w:color="000000" w:fill="FFFFFF"/>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946" w:type="dxa"/>
            <w:tcBorders>
              <w:top w:val="single" w:color="auto" w:sz="4" w:space="0"/>
              <w:left w:val="nil"/>
              <w:bottom w:val="single" w:color="auto" w:sz="4" w:space="0"/>
              <w:right w:val="single" w:color="auto" w:sz="4" w:space="0"/>
            </w:tcBorders>
            <w:shd w:val="clear" w:color="000000" w:fill="FFFFFF"/>
          </w:tcPr>
          <w:p>
            <w:pPr>
              <w:spacing w:after="0" w:line="240" w:lineRule="auto"/>
              <w:jc w:val="right"/>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c>
          <w:tcPr>
            <w:tcW w:w="749" w:type="dxa"/>
            <w:tcBorders>
              <w:top w:val="single" w:color="auto" w:sz="4" w:space="0"/>
              <w:left w:val="nil"/>
              <w:bottom w:val="single" w:color="auto" w:sz="4" w:space="0"/>
              <w:right w:val="single" w:color="auto" w:sz="4" w:space="0"/>
            </w:tcBorders>
            <w:shd w:val="clear" w:color="auto" w:fill="auto"/>
          </w:tcPr>
          <w:p>
            <w:pPr>
              <w:spacing w:after="0" w:line="240" w:lineRule="auto"/>
              <w:jc w:val="center"/>
              <w:rPr>
                <w:rFonts w:ascii="Arial Narrow" w:hAnsi="Arial Narrow" w:eastAsia="Times New Roman" w:cs="Calibri"/>
                <w:color w:val="000000"/>
                <w:sz w:val="16"/>
                <w:szCs w:val="16"/>
                <w:lang w:val="en-US"/>
              </w:rPr>
            </w:pPr>
            <w:r>
              <w:rPr>
                <w:rFonts w:ascii="Arial Narrow" w:hAnsi="Arial Narrow" w:eastAsia="Times New Roman" w:cs="Calibri"/>
                <w:color w:val="000000"/>
                <w:sz w:val="16"/>
                <w:szCs w:val="16"/>
                <w:lang w:val="en-US"/>
              </w:rPr>
              <w:t>0</w:t>
            </w:r>
          </w:p>
        </w:tc>
      </w:tr>
    </w:tbl>
    <w:p>
      <w:pPr>
        <w:spacing w:after="0" w:line="240" w:lineRule="auto"/>
        <w:rPr>
          <w:rFonts w:ascii="Arial" w:hAnsi="Arial" w:cs="Arial"/>
          <w:b/>
          <w:sz w:val="24"/>
          <w:szCs w:val="24"/>
          <w:lang w:val="en-US"/>
        </w:rPr>
      </w:pPr>
    </w:p>
    <w:tbl>
      <w:tblPr>
        <w:tblStyle w:val="4"/>
        <w:tblW w:w="11395" w:type="dxa"/>
        <w:tblInd w:w="-743" w:type="dxa"/>
        <w:tblLayout w:type="fixed"/>
        <w:tblCellMar>
          <w:top w:w="0" w:type="dxa"/>
          <w:left w:w="108" w:type="dxa"/>
          <w:bottom w:w="0" w:type="dxa"/>
          <w:right w:w="108" w:type="dxa"/>
        </w:tblCellMar>
      </w:tblPr>
      <w:tblGrid>
        <w:gridCol w:w="480"/>
        <w:gridCol w:w="1931"/>
        <w:gridCol w:w="1984"/>
        <w:gridCol w:w="851"/>
        <w:gridCol w:w="1275"/>
        <w:gridCol w:w="1134"/>
        <w:gridCol w:w="1900"/>
        <w:gridCol w:w="1840"/>
      </w:tblGrid>
      <w:tr>
        <w:tblPrEx>
          <w:tblCellMar>
            <w:top w:w="0" w:type="dxa"/>
            <w:left w:w="108" w:type="dxa"/>
            <w:bottom w:w="0" w:type="dxa"/>
            <w:right w:w="108" w:type="dxa"/>
          </w:tblCellMar>
        </w:tblPrEx>
        <w:trPr>
          <w:trHeight w:val="300" w:hRule="atLeast"/>
        </w:trPr>
        <w:tc>
          <w:tcPr>
            <w:tcW w:w="48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931"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98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851"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275"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13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90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84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r>
      <w:tr>
        <w:tblPrEx>
          <w:tblCellMar>
            <w:top w:w="0" w:type="dxa"/>
            <w:left w:w="108" w:type="dxa"/>
            <w:bottom w:w="0" w:type="dxa"/>
            <w:right w:w="108" w:type="dxa"/>
          </w:tblCellMar>
        </w:tblPrEx>
        <w:trPr>
          <w:trHeight w:val="300" w:hRule="atLeast"/>
        </w:trPr>
        <w:tc>
          <w:tcPr>
            <w:tcW w:w="48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931"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98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851"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275"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134"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c>
          <w:tcPr>
            <w:tcW w:w="1900" w:type="dxa"/>
            <w:tcBorders>
              <w:top w:val="nil"/>
              <w:left w:val="nil"/>
              <w:bottom w:val="nil"/>
              <w:right w:val="nil"/>
            </w:tcBorders>
            <w:shd w:val="clear" w:color="auto" w:fill="auto"/>
            <w:noWrap/>
            <w:vAlign w:val="bottom"/>
          </w:tcPr>
          <w:p>
            <w:pPr>
              <w:spacing w:after="0" w:line="240" w:lineRule="auto"/>
              <w:rPr>
                <w:rFonts w:eastAsia="Times New Roman"/>
                <w:color w:val="000000"/>
                <w:lang w:val="en-US"/>
              </w:rPr>
            </w:pPr>
          </w:p>
        </w:tc>
        <w:tc>
          <w:tcPr>
            <w:tcW w:w="1840" w:type="dxa"/>
            <w:tcBorders>
              <w:top w:val="nil"/>
              <w:left w:val="nil"/>
              <w:bottom w:val="nil"/>
              <w:right w:val="nil"/>
            </w:tcBorders>
            <w:shd w:val="clear" w:color="auto" w:fill="auto"/>
            <w:noWrap/>
            <w:vAlign w:val="bottom"/>
          </w:tcPr>
          <w:p>
            <w:pPr>
              <w:spacing w:after="0" w:line="240" w:lineRule="auto"/>
              <w:rPr>
                <w:rFonts w:eastAsia="Times New Roman"/>
                <w:color w:val="000000"/>
              </w:rPr>
            </w:pPr>
          </w:p>
        </w:tc>
      </w:tr>
    </w:tbl>
    <w:p>
      <w:pPr>
        <w:spacing w:after="0" w:line="240" w:lineRule="auto"/>
        <w:rPr>
          <w:rFonts w:ascii="Arial" w:hAnsi="Arial" w:cs="Arial"/>
          <w:b/>
          <w:sz w:val="24"/>
          <w:szCs w:val="24"/>
        </w:rPr>
      </w:pPr>
    </w:p>
    <w:p>
      <w:pPr>
        <w:spacing w:after="0" w:line="240" w:lineRule="auto"/>
        <w:rPr>
          <w:rFonts w:ascii="Arial" w:hAnsi="Arial" w:cs="Arial"/>
          <w:b/>
          <w:sz w:val="24"/>
          <w:szCs w:val="24"/>
        </w:rPr>
      </w:pPr>
    </w:p>
    <w:p>
      <w:pPr>
        <w:spacing w:after="0" w:line="240" w:lineRule="auto"/>
        <w:jc w:val="center"/>
        <w:rPr>
          <w:rFonts w:ascii="Arial" w:hAnsi="Arial" w:cs="Arial"/>
          <w:b/>
          <w:sz w:val="24"/>
          <w:szCs w:val="24"/>
          <w:lang w:val="en-US"/>
        </w:rPr>
      </w:pPr>
      <w:r>
        <w:rPr>
          <w:rFonts w:ascii="Arial" w:hAnsi="Arial" w:cs="Arial"/>
          <w:b/>
          <w:sz w:val="24"/>
          <w:szCs w:val="24"/>
        </w:rPr>
        <w:t>BAB IV</w:t>
      </w:r>
    </w:p>
    <w:p>
      <w:pPr>
        <w:spacing w:after="0" w:line="240" w:lineRule="auto"/>
        <w:jc w:val="center"/>
        <w:rPr>
          <w:rFonts w:ascii="Arial" w:hAnsi="Arial" w:cs="Arial"/>
          <w:b/>
          <w:sz w:val="24"/>
          <w:szCs w:val="24"/>
          <w:lang w:val="en-US"/>
        </w:rPr>
      </w:pPr>
      <w:r>
        <w:rPr>
          <w:rFonts w:ascii="Arial" w:hAnsi="Arial" w:cs="Arial"/>
          <w:b/>
          <w:sz w:val="24"/>
          <w:szCs w:val="24"/>
        </w:rPr>
        <w:t>PENUTUP</w:t>
      </w:r>
    </w:p>
    <w:p>
      <w:pPr>
        <w:pStyle w:val="15"/>
        <w:numPr>
          <w:ilvl w:val="0"/>
          <w:numId w:val="16"/>
        </w:numPr>
        <w:spacing w:after="0" w:line="360" w:lineRule="auto"/>
        <w:ind w:left="425" w:leftChars="0" w:hanging="425" w:firstLineChars="0"/>
        <w:rPr>
          <w:rFonts w:ascii="Arial" w:hAnsi="Arial" w:cs="Arial"/>
          <w:b/>
          <w:sz w:val="24"/>
          <w:szCs w:val="24"/>
        </w:rPr>
      </w:pPr>
      <w:r>
        <w:rPr>
          <w:rFonts w:ascii="Arial" w:hAnsi="Arial" w:cs="Arial"/>
          <w:b/>
          <w:sz w:val="24"/>
          <w:szCs w:val="24"/>
        </w:rPr>
        <w:t>Kesimpulan</w:t>
      </w:r>
    </w:p>
    <w:p>
      <w:pPr>
        <w:autoSpaceDE w:val="0"/>
        <w:autoSpaceDN w:val="0"/>
        <w:adjustRightInd w:val="0"/>
        <w:spacing w:after="0" w:line="360" w:lineRule="auto"/>
        <w:ind w:left="567" w:firstLine="851"/>
        <w:jc w:val="both"/>
        <w:rPr>
          <w:rFonts w:ascii="Arial" w:hAnsi="Arial" w:cs="Arial"/>
          <w:color w:val="000000"/>
          <w:sz w:val="23"/>
          <w:szCs w:val="23"/>
        </w:rPr>
      </w:pPr>
      <w:r>
        <w:rPr>
          <w:rFonts w:ascii="Arial" w:hAnsi="Arial" w:cs="Arial"/>
          <w:sz w:val="24"/>
          <w:szCs w:val="24"/>
        </w:rPr>
        <w:t>Berdasarkan analisis dan capaian kinerja Kecamatan Astambul pada tahun 2023</w:t>
      </w:r>
      <w:r>
        <w:rPr>
          <w:rFonts w:ascii="Arial" w:hAnsi="Arial" w:cs="Arial"/>
          <w:sz w:val="24"/>
          <w:szCs w:val="24"/>
          <w:lang w:val="en-US"/>
        </w:rPr>
        <w:t xml:space="preserve"> </w:t>
      </w:r>
      <w:r>
        <w:rPr>
          <w:rFonts w:ascii="Arial" w:hAnsi="Arial" w:cs="Arial"/>
          <w:sz w:val="24"/>
          <w:szCs w:val="24"/>
        </w:rPr>
        <w:t>sampai dengan triwulan I, maka dapat disimpulkan sebagai berikut :</w:t>
      </w:r>
    </w:p>
    <w:p>
      <w:pPr>
        <w:numPr>
          <w:ilvl w:val="0"/>
          <w:numId w:val="17"/>
        </w:numPr>
        <w:spacing w:after="0" w:line="360" w:lineRule="auto"/>
        <w:ind w:left="993" w:hanging="426"/>
        <w:jc w:val="both"/>
        <w:rPr>
          <w:rFonts w:ascii="Arial" w:hAnsi="Arial" w:cs="Arial"/>
          <w:sz w:val="24"/>
          <w:szCs w:val="24"/>
        </w:rPr>
      </w:pPr>
      <w:r>
        <w:rPr>
          <w:rFonts w:ascii="Arial" w:hAnsi="Arial" w:cs="Arial"/>
          <w:sz w:val="24"/>
          <w:szCs w:val="24"/>
        </w:rPr>
        <w:t xml:space="preserve">Capaian IKU Kecamatan Astambul </w:t>
      </w:r>
      <w:r>
        <w:rPr>
          <w:rFonts w:ascii="Arial" w:hAnsi="Arial" w:cs="Arial"/>
          <w:sz w:val="24"/>
          <w:szCs w:val="24"/>
          <w:lang w:val="en-US"/>
        </w:rPr>
        <w:t>atau Capaian Kinerja adalah sebanyak Laporan dari target Kinerja  Laporan.</w:t>
      </w:r>
    </w:p>
    <w:p>
      <w:pPr>
        <w:numPr>
          <w:ilvl w:val="0"/>
          <w:numId w:val="17"/>
        </w:numPr>
        <w:spacing w:after="0" w:line="360" w:lineRule="auto"/>
        <w:ind w:left="993" w:hanging="426"/>
        <w:jc w:val="both"/>
        <w:rPr>
          <w:rFonts w:ascii="Arial" w:hAnsi="Arial" w:cs="Arial"/>
          <w:sz w:val="24"/>
          <w:szCs w:val="24"/>
        </w:rPr>
      </w:pPr>
      <w:r>
        <w:rPr>
          <w:rFonts w:ascii="Arial" w:hAnsi="Arial" w:cs="Arial"/>
          <w:sz w:val="24"/>
          <w:szCs w:val="24"/>
        </w:rPr>
        <w:t>Realisasi keuangan terealisasi sebesar Rp. 432,672,341,- atau 17,4</w:t>
      </w:r>
      <w:r>
        <w:rPr>
          <w:rFonts w:ascii="Arial" w:hAnsi="Arial" w:cs="Arial"/>
          <w:sz w:val="24"/>
          <w:szCs w:val="24"/>
          <w:lang w:val="en-US"/>
        </w:rPr>
        <w:t>8</w:t>
      </w:r>
      <w:r>
        <w:rPr>
          <w:rFonts w:ascii="Arial" w:hAnsi="Arial" w:cs="Arial"/>
          <w:sz w:val="24"/>
          <w:szCs w:val="24"/>
        </w:rPr>
        <w:t>% dari anggaran sebesar Rp.</w:t>
      </w:r>
      <w:r>
        <w:rPr>
          <w:rFonts w:ascii="Arial" w:hAnsi="Arial" w:cs="Arial"/>
          <w:sz w:val="24"/>
          <w:szCs w:val="24"/>
          <w:lang w:val="en-US"/>
        </w:rPr>
        <w:t xml:space="preserve"> </w:t>
      </w:r>
      <w:r>
        <w:rPr>
          <w:rFonts w:ascii="Arial" w:hAnsi="Arial" w:cs="Arial"/>
          <w:sz w:val="24"/>
          <w:szCs w:val="24"/>
        </w:rPr>
        <w:t>2.474.470.851,-</w:t>
      </w:r>
    </w:p>
    <w:p>
      <w:pPr>
        <w:pStyle w:val="15"/>
        <w:spacing w:after="0" w:line="240" w:lineRule="auto"/>
        <w:ind w:left="567"/>
        <w:rPr>
          <w:rFonts w:ascii="Arial" w:hAnsi="Arial" w:cs="Arial"/>
          <w:b/>
          <w:sz w:val="24"/>
          <w:szCs w:val="24"/>
        </w:rPr>
      </w:pPr>
    </w:p>
    <w:p>
      <w:pPr>
        <w:pStyle w:val="15"/>
        <w:numPr>
          <w:ilvl w:val="0"/>
          <w:numId w:val="16"/>
        </w:numPr>
        <w:spacing w:after="0" w:line="360" w:lineRule="auto"/>
        <w:ind w:left="425" w:leftChars="0" w:hanging="425" w:firstLineChars="0"/>
        <w:rPr>
          <w:rFonts w:ascii="Arial" w:hAnsi="Arial" w:cs="Arial"/>
          <w:b/>
          <w:sz w:val="24"/>
          <w:szCs w:val="24"/>
        </w:rPr>
      </w:pPr>
      <w:r>
        <w:rPr>
          <w:rFonts w:ascii="Arial" w:hAnsi="Arial" w:cs="Arial"/>
          <w:b/>
          <w:sz w:val="24"/>
          <w:szCs w:val="24"/>
        </w:rPr>
        <w:t>Saran</w:t>
      </w:r>
    </w:p>
    <w:p>
      <w:pPr>
        <w:autoSpaceDE w:val="0"/>
        <w:autoSpaceDN w:val="0"/>
        <w:adjustRightInd w:val="0"/>
        <w:spacing w:after="0" w:line="360" w:lineRule="auto"/>
        <w:ind w:left="567" w:firstLine="851"/>
        <w:jc w:val="both"/>
        <w:rPr>
          <w:rFonts w:ascii="Arial" w:hAnsi="Arial" w:cs="Arial"/>
          <w:sz w:val="24"/>
          <w:szCs w:val="24"/>
        </w:rPr>
      </w:pPr>
      <w:r>
        <w:rPr>
          <w:rFonts w:ascii="Arial" w:hAnsi="Arial" w:cs="Arial"/>
          <w:sz w:val="24"/>
          <w:szCs w:val="24"/>
        </w:rPr>
        <w:t>Berdasarkan kesimpulan diatas kami memberikan saran dan masukan sebagai berikut :</w:t>
      </w:r>
    </w:p>
    <w:p>
      <w:pPr>
        <w:numPr>
          <w:ilvl w:val="0"/>
          <w:numId w:val="18"/>
        </w:numPr>
        <w:autoSpaceDE w:val="0"/>
        <w:autoSpaceDN w:val="0"/>
        <w:adjustRightInd w:val="0"/>
        <w:spacing w:after="0" w:line="360" w:lineRule="auto"/>
        <w:ind w:left="658" w:leftChars="200" w:hanging="218" w:hangingChars="91"/>
        <w:jc w:val="both"/>
        <w:rPr>
          <w:rFonts w:hint="default" w:ascii="Arial" w:hAnsi="Arial" w:cs="Arial"/>
          <w:sz w:val="24"/>
          <w:szCs w:val="24"/>
          <w:lang w:val="id-ID"/>
        </w:rPr>
      </w:pPr>
      <w:r>
        <w:rPr>
          <w:rFonts w:ascii="Arial" w:hAnsi="Arial" w:cs="Arial"/>
          <w:sz w:val="24"/>
          <w:szCs w:val="24"/>
        </w:rPr>
        <w:t>Terus berupaya  meningkatkan kinerja SDM Kecamatan Astambul untuk capaian target kinerja di triwulan berikutnya  sesuai dengan rencana aksi</w:t>
      </w:r>
      <w:r>
        <w:rPr>
          <w:rFonts w:hint="default" w:ascii="Arial" w:hAnsi="Arial" w:cs="Arial"/>
          <w:sz w:val="24"/>
          <w:szCs w:val="24"/>
          <w:lang w:val="id-ID"/>
        </w:rPr>
        <w:t>.</w:t>
      </w:r>
    </w:p>
    <w:p>
      <w:pPr>
        <w:numPr>
          <w:ilvl w:val="0"/>
          <w:numId w:val="18"/>
        </w:numPr>
        <w:autoSpaceDE w:val="0"/>
        <w:autoSpaceDN w:val="0"/>
        <w:adjustRightInd w:val="0"/>
        <w:spacing w:after="0" w:line="360" w:lineRule="auto"/>
        <w:ind w:left="658" w:leftChars="200" w:hanging="218" w:hangingChars="91"/>
        <w:jc w:val="both"/>
        <w:rPr>
          <w:rFonts w:ascii="Arial" w:hAnsi="Arial" w:cs="Arial"/>
          <w:sz w:val="24"/>
          <w:szCs w:val="24"/>
        </w:rPr>
      </w:pPr>
      <w:r>
        <w:rPr>
          <w:rFonts w:ascii="Arial" w:hAnsi="Arial" w:cs="Arial"/>
          <w:sz w:val="24"/>
          <w:szCs w:val="24"/>
        </w:rPr>
        <w:t>Melaksanakan kegiatan seefektif dan seefisien mungkin agar serapan anggaran dapat maksimal</w:t>
      </w:r>
    </w:p>
    <w:p>
      <w:pPr>
        <w:numPr>
          <w:ilvl w:val="0"/>
          <w:numId w:val="16"/>
        </w:numPr>
        <w:autoSpaceDE w:val="0"/>
        <w:autoSpaceDN w:val="0"/>
        <w:adjustRightInd w:val="0"/>
        <w:spacing w:after="0" w:line="360" w:lineRule="auto"/>
        <w:ind w:left="658" w:leftChars="200" w:hanging="218" w:hangingChars="91"/>
        <w:jc w:val="both"/>
        <w:rPr>
          <w:rFonts w:ascii="Arial" w:hAnsi="Arial" w:cs="Arial"/>
          <w:sz w:val="24"/>
          <w:szCs w:val="24"/>
        </w:rPr>
      </w:pPr>
      <w:r>
        <w:rPr>
          <w:rFonts w:ascii="Arial" w:hAnsi="Arial" w:cs="Arial"/>
          <w:sz w:val="24"/>
          <w:szCs w:val="24"/>
        </w:rPr>
        <w:t>Melakukan perubahan anggaran untuk kegiatan yang dirasa tidak dapat dilaksanakan guna penyerapan anggaran menjadi lebih baik.</w:t>
      </w:r>
    </w:p>
    <w:p>
      <w:pPr>
        <w:spacing w:after="0" w:line="240" w:lineRule="auto"/>
        <w:ind w:left="879" w:leftChars="236" w:hanging="360" w:hangingChars="150"/>
        <w:jc w:val="both"/>
        <w:rPr>
          <w:rFonts w:ascii="Arial" w:hAnsi="Arial" w:cs="Arial"/>
          <w:sz w:val="24"/>
          <w:szCs w:val="24"/>
        </w:rPr>
      </w:pPr>
    </w:p>
    <w:p>
      <w:pPr>
        <w:spacing w:after="0" w:line="240" w:lineRule="auto"/>
        <w:ind w:left="879" w:leftChars="236" w:hanging="360" w:hangingChars="150"/>
        <w:jc w:val="both"/>
        <w:rPr>
          <w:rFonts w:ascii="Arial" w:hAnsi="Arial" w:cs="Arial"/>
          <w:sz w:val="24"/>
          <w:szCs w:val="24"/>
        </w:rPr>
      </w:pPr>
    </w:p>
    <w:p>
      <w:pPr>
        <w:widowControl w:val="0"/>
        <w:autoSpaceDE w:val="0"/>
        <w:autoSpaceDN w:val="0"/>
        <w:adjustRightInd w:val="0"/>
        <w:spacing w:after="0" w:line="200" w:lineRule="exact"/>
        <w:rPr>
          <w:rFonts w:ascii="Trebuchet MS" w:hAnsi="Trebuchet MS" w:eastAsia="Times New Roman"/>
          <w:color w:val="000000"/>
          <w:sz w:val="24"/>
          <w:szCs w:val="24"/>
          <w:lang w:val="en-US"/>
        </w:rPr>
      </w:pPr>
    </w:p>
    <w:p>
      <w:pPr>
        <w:widowControl w:val="0"/>
        <w:autoSpaceDE w:val="0"/>
        <w:autoSpaceDN w:val="0"/>
        <w:adjustRightInd w:val="0"/>
        <w:spacing w:after="0"/>
        <w:ind w:left="4984"/>
        <w:rPr>
          <w:rFonts w:ascii="Arial" w:hAnsi="Arial" w:cs="Arial"/>
          <w:iCs/>
          <w:color w:val="000000"/>
        </w:rPr>
      </w:pPr>
      <w:r>
        <w:drawing>
          <wp:anchor distT="0" distB="0" distL="114300" distR="114300" simplePos="0" relativeHeight="251664384" behindDoc="1" locked="0" layoutInCell="1" allowOverlap="1">
            <wp:simplePos x="0" y="0"/>
            <wp:positionH relativeFrom="column">
              <wp:posOffset>2244090</wp:posOffset>
            </wp:positionH>
            <wp:positionV relativeFrom="paragraph">
              <wp:posOffset>154305</wp:posOffset>
            </wp:positionV>
            <wp:extent cx="1298575" cy="1254125"/>
            <wp:effectExtent l="0" t="0" r="0" b="3175"/>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pic:cNvPicPr>
                  </pic:nvPicPr>
                  <pic:blipFill>
                    <a:blip r:embed="rId7"/>
                    <a:stretch>
                      <a:fillRect/>
                    </a:stretch>
                  </pic:blipFill>
                  <pic:spPr>
                    <a:xfrm>
                      <a:off x="0" y="0"/>
                      <a:ext cx="1298575" cy="1254125"/>
                    </a:xfrm>
                    <a:prstGeom prst="rect">
                      <a:avLst/>
                    </a:prstGeom>
                    <a:noFill/>
                    <a:ln>
                      <a:noFill/>
                    </a:ln>
                  </pic:spPr>
                </pic:pic>
              </a:graphicData>
            </a:graphic>
          </wp:anchor>
        </w:drawing>
      </w:r>
      <w:r>
        <w:rPr>
          <w:rFonts w:ascii="Arial" w:hAnsi="Arial" w:cs="Arial"/>
          <w:iCs/>
          <w:color w:val="000000"/>
        </w:rPr>
        <w:t xml:space="preserve">Astambul, </w:t>
      </w:r>
      <w:r>
        <w:rPr>
          <w:rFonts w:ascii="Arial" w:hAnsi="Arial" w:cs="Arial"/>
          <w:iCs/>
          <w:color w:val="000000"/>
          <w:spacing w:val="6"/>
        </w:rPr>
        <w:t>31 Maret 2023</w:t>
      </w:r>
    </w:p>
    <w:p>
      <w:pPr>
        <w:widowControl w:val="0"/>
        <w:autoSpaceDE w:val="0"/>
        <w:autoSpaceDN w:val="0"/>
        <w:adjustRightInd w:val="0"/>
        <w:spacing w:after="0"/>
        <w:ind w:left="4984"/>
        <w:rPr>
          <w:rFonts w:ascii="Arial" w:hAnsi="Arial" w:cs="Arial"/>
          <w:iCs/>
          <w:color w:val="000000"/>
          <w:lang w:val="en-US"/>
        </w:rPr>
      </w:pPr>
      <w:r>
        <w:rPr>
          <w:rFonts w:ascii="Arial" w:hAnsi="Arial" w:cs="Arial"/>
          <w:iCs/>
          <w:color w:val="000000"/>
        </w:rPr>
        <w:t>Camat Astambul</w:t>
      </w:r>
      <w:r>
        <w:rPr>
          <w:rFonts w:ascii="Arial" w:hAnsi="Arial" w:cs="Arial"/>
        </w:rPr>
        <w:t xml:space="preserve"> </w:t>
      </w:r>
    </w:p>
    <w:p>
      <w:pPr>
        <w:widowControl w:val="0"/>
        <w:autoSpaceDE w:val="0"/>
        <w:autoSpaceDN w:val="0"/>
        <w:adjustRightInd w:val="0"/>
        <w:spacing w:after="0"/>
        <w:ind w:left="4984"/>
        <w:rPr>
          <w:rFonts w:ascii="Arial" w:hAnsi="Arial" w:cs="Arial"/>
          <w:iCs/>
          <w:color w:val="000000"/>
          <w:u w:val="single"/>
          <w:lang w:val="en-US"/>
        </w:rPr>
      </w:pPr>
      <w:r>
        <w:rPr>
          <w:rFonts w:ascii="Arial" w:hAnsi="Arial" w:cs="Arial"/>
          <w:iCs/>
          <w:color w:val="000000"/>
          <w:lang w:val="en-US"/>
        </w:rPr>
        <w:drawing>
          <wp:inline distT="0" distB="0" distL="0" distR="0">
            <wp:extent cx="1037590" cy="85598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8" cstate="print">
                      <a:extLst>
                        <a:ext uri="{BEBA8EAE-BF5A-486C-A8C5-ECC9F3942E4B}">
                          <a14:imgProps xmlns:a14="http://schemas.microsoft.com/office/drawing/2010/main">
                            <a14:imgLayer r:embed="rId9">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037590" cy="855980"/>
                    </a:xfrm>
                    <a:prstGeom prst="rect">
                      <a:avLst/>
                    </a:prstGeom>
                  </pic:spPr>
                </pic:pic>
              </a:graphicData>
            </a:graphic>
          </wp:inline>
        </w:drawing>
      </w:r>
      <w:bookmarkStart w:id="1" w:name="_GoBack"/>
      <w:bookmarkEnd w:id="1"/>
    </w:p>
    <w:p>
      <w:pPr>
        <w:widowControl w:val="0"/>
        <w:autoSpaceDE w:val="0"/>
        <w:autoSpaceDN w:val="0"/>
        <w:adjustRightInd w:val="0"/>
        <w:spacing w:after="0"/>
        <w:ind w:left="4984"/>
        <w:rPr>
          <w:rFonts w:ascii="Arial" w:hAnsi="Arial" w:cs="Arial"/>
          <w:iCs/>
          <w:color w:val="000000"/>
        </w:rPr>
      </w:pPr>
      <w:r>
        <w:rPr>
          <w:rFonts w:ascii="Arial" w:hAnsi="Arial" w:cs="Arial"/>
          <w:iCs/>
          <w:color w:val="000000"/>
        </w:rPr>
        <w:t>AHMAD FAUZI, S.Sos, MM</w:t>
      </w:r>
    </w:p>
    <w:p>
      <w:pPr>
        <w:widowControl w:val="0"/>
        <w:autoSpaceDE w:val="0"/>
        <w:autoSpaceDN w:val="0"/>
        <w:adjustRightInd w:val="0"/>
        <w:spacing w:after="0"/>
        <w:ind w:left="4984"/>
        <w:rPr>
          <w:rFonts w:ascii="Arial" w:hAnsi="Arial" w:cs="Arial"/>
          <w:iCs/>
          <w:color w:val="000000"/>
        </w:rPr>
      </w:pPr>
      <w:r>
        <w:rPr>
          <w:rFonts w:ascii="Arial" w:hAnsi="Arial" w:cs="Arial"/>
          <w:iCs/>
          <w:color w:val="000000"/>
        </w:rPr>
        <w:t>NIP. 196801231998031007</w:t>
      </w:r>
    </w:p>
    <w:p>
      <w:pPr>
        <w:widowControl w:val="0"/>
        <w:autoSpaceDE w:val="0"/>
        <w:autoSpaceDN w:val="0"/>
        <w:adjustRightInd w:val="0"/>
        <w:spacing w:after="0"/>
        <w:ind w:left="4984"/>
        <w:rPr>
          <w:rFonts w:ascii="Arial" w:hAnsi="Arial" w:cs="Arial"/>
          <w:iCs/>
          <w:color w:val="000000"/>
        </w:rPr>
      </w:pPr>
      <w:r>
        <w:rPr>
          <w:rFonts w:ascii="Arial" w:hAnsi="Arial" w:cs="Arial"/>
          <w:iCs/>
          <w:color w:val="000000"/>
        </w:rPr>
        <w:t xml:space="preserve"> </w:t>
      </w:r>
    </w:p>
    <w:p>
      <w:pPr>
        <w:spacing w:after="0" w:line="240" w:lineRule="auto"/>
        <w:jc w:val="both"/>
        <w:rPr>
          <w:rFonts w:ascii="Arial" w:hAnsi="Arial" w:cs="Arial"/>
          <w:sz w:val="24"/>
          <w:szCs w:val="24"/>
          <w:lang w:val="en-US"/>
        </w:rPr>
        <w:sectPr>
          <w:pgSz w:w="12240" w:h="20160"/>
          <w:pgMar w:top="1440" w:right="1440" w:bottom="1440" w:left="1440" w:header="706" w:footer="706" w:gutter="0"/>
          <w:cols w:space="708" w:num="1"/>
          <w:docGrid w:linePitch="360" w:charSpace="0"/>
        </w:sectPr>
      </w:pPr>
      <w:r>
        <w:rPr>
          <w:rFonts w:ascii="Arial" w:hAnsi="Arial" w:cs="Arial"/>
          <w:sz w:val="24"/>
          <w:szCs w:val="24"/>
        </w:rPr>
        <w:br w:type="page"/>
      </w:r>
    </w:p>
    <w:p>
      <w:pPr>
        <w:pStyle w:val="28"/>
        <w:jc w:val="center"/>
        <w:rPr>
          <w:rFonts w:ascii="Arial" w:hAnsi="Arial" w:cs="Arial"/>
          <w:b/>
          <w:bCs/>
          <w:sz w:val="24"/>
          <w:szCs w:val="24"/>
        </w:rPr>
      </w:pPr>
      <w:r>
        <w:rPr>
          <w:rFonts w:ascii="Arial" w:hAnsi="Arial" w:cs="Arial"/>
          <w:b/>
          <w:bCs/>
          <w:sz w:val="24"/>
          <w:szCs w:val="24"/>
        </w:rPr>
        <w:t>LAPORAN REALISASI KINERJA</w:t>
      </w:r>
    </w:p>
    <w:p>
      <w:pPr>
        <w:spacing w:after="0"/>
        <w:jc w:val="center"/>
        <w:rPr>
          <w:rFonts w:ascii="Arial" w:hAnsi="Arial" w:cs="Arial"/>
          <w:b/>
          <w:sz w:val="24"/>
          <w:szCs w:val="24"/>
        </w:rPr>
      </w:pPr>
      <w:r>
        <w:rPr>
          <w:rFonts w:ascii="Arial" w:hAnsi="Arial" w:cs="Arial"/>
          <w:b/>
          <w:sz w:val="24"/>
          <w:szCs w:val="24"/>
        </w:rPr>
        <w:t xml:space="preserve">KEPALA SUBBAGIAN PERENCANAAN, KEUANGAN DAN ASET  </w:t>
      </w:r>
    </w:p>
    <w:p>
      <w:pPr>
        <w:spacing w:after="0"/>
        <w:jc w:val="center"/>
        <w:rPr>
          <w:rFonts w:ascii="Arial" w:hAnsi="Arial" w:cs="Arial"/>
          <w:b/>
          <w:sz w:val="24"/>
          <w:szCs w:val="24"/>
        </w:rPr>
      </w:pPr>
      <w:r>
        <w:rPr>
          <w:rFonts w:ascii="Arial" w:hAnsi="Arial" w:cs="Arial"/>
          <w:b/>
          <w:sz w:val="24"/>
          <w:szCs w:val="24"/>
        </w:rPr>
        <w:t xml:space="preserve">KECAMATAN ASTAMBUL KABUPATEN BANJAR </w:t>
      </w:r>
    </w:p>
    <w:p>
      <w:pPr>
        <w:spacing w:after="0" w:line="240" w:lineRule="auto"/>
        <w:ind w:left="567" w:right="992"/>
        <w:jc w:val="center"/>
        <w:rPr>
          <w:rFonts w:ascii="Arial" w:hAnsi="Arial" w:cs="Arial"/>
          <w:sz w:val="24"/>
          <w:szCs w:val="24"/>
        </w:rPr>
      </w:pPr>
      <w:r>
        <w:rPr>
          <w:rFonts w:ascii="Arial" w:hAnsi="Arial" w:cs="Arial"/>
          <w:b/>
          <w:sz w:val="24"/>
          <w:szCs w:val="24"/>
        </w:rPr>
        <w:t>TRIWULAN  l TAHUN 2023</w:t>
      </w:r>
    </w:p>
    <w:p>
      <w:pPr>
        <w:spacing w:after="0" w:line="240" w:lineRule="auto"/>
        <w:ind w:left="567" w:right="992"/>
        <w:rPr>
          <w:rFonts w:ascii="Arial" w:hAnsi="Arial" w:cs="Arial"/>
          <w:sz w:val="24"/>
          <w:szCs w:val="24"/>
        </w:rPr>
      </w:pPr>
    </w:p>
    <w:tbl>
      <w:tblPr>
        <w:tblStyle w:val="12"/>
        <w:tblW w:w="1049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
        <w:gridCol w:w="1440"/>
        <w:gridCol w:w="1276"/>
        <w:gridCol w:w="851"/>
        <w:gridCol w:w="992"/>
        <w:gridCol w:w="737"/>
        <w:gridCol w:w="720"/>
        <w:gridCol w:w="720"/>
        <w:gridCol w:w="720"/>
        <w:gridCol w:w="720"/>
        <w:gridCol w:w="900"/>
        <w:gridCol w:w="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516" w:type="dxa"/>
            <w:vMerge w:val="restart"/>
            <w:shd w:val="clear" w:color="auto" w:fill="92D050"/>
            <w:vAlign w:val="center"/>
          </w:tcPr>
          <w:p>
            <w:pPr>
              <w:jc w:val="center"/>
              <w:rPr>
                <w:rFonts w:ascii="Arial" w:hAnsi="Arial" w:cs="Arial"/>
                <w:b/>
              </w:rPr>
            </w:pPr>
            <w:r>
              <w:rPr>
                <w:rFonts w:ascii="Arial" w:hAnsi="Arial" w:cs="Arial"/>
                <w:b/>
              </w:rPr>
              <w:t>NO</w:t>
            </w:r>
          </w:p>
        </w:tc>
        <w:tc>
          <w:tcPr>
            <w:tcW w:w="1440" w:type="dxa"/>
            <w:vMerge w:val="restart"/>
            <w:shd w:val="clear" w:color="auto" w:fill="92D050"/>
            <w:vAlign w:val="center"/>
          </w:tcPr>
          <w:p>
            <w:pPr>
              <w:jc w:val="center"/>
              <w:rPr>
                <w:rFonts w:ascii="Arial" w:hAnsi="Arial" w:cs="Arial"/>
                <w:b/>
              </w:rPr>
            </w:pPr>
            <w:r>
              <w:rPr>
                <w:rFonts w:ascii="Arial" w:hAnsi="Arial" w:cs="Arial"/>
                <w:b/>
                <w:sz w:val="18"/>
              </w:rPr>
              <w:t>TUJUAN/ SASARAN/ PROGRAM/ KEGIATAN/ SUBKEGIATAN</w:t>
            </w:r>
          </w:p>
        </w:tc>
        <w:tc>
          <w:tcPr>
            <w:tcW w:w="1276" w:type="dxa"/>
            <w:vMerge w:val="restart"/>
            <w:shd w:val="clear" w:color="auto" w:fill="92D050"/>
            <w:vAlign w:val="center"/>
          </w:tcPr>
          <w:p>
            <w:pPr>
              <w:jc w:val="center"/>
              <w:rPr>
                <w:rFonts w:ascii="Arial" w:hAnsi="Arial" w:cs="Arial"/>
                <w:b/>
              </w:rPr>
            </w:pPr>
            <w:r>
              <w:rPr>
                <w:rFonts w:ascii="Arial" w:hAnsi="Arial" w:cs="Arial"/>
                <w:b/>
                <w:sz w:val="18"/>
              </w:rPr>
              <w:t>SASARAN/ KINERJA PROGRAM/ KEGIATAN/ SUBKEGIATAN</w:t>
            </w:r>
          </w:p>
        </w:tc>
        <w:tc>
          <w:tcPr>
            <w:tcW w:w="851" w:type="dxa"/>
            <w:vMerge w:val="restart"/>
            <w:shd w:val="clear" w:color="auto" w:fill="92D050"/>
            <w:vAlign w:val="center"/>
          </w:tcPr>
          <w:p>
            <w:pPr>
              <w:jc w:val="center"/>
              <w:rPr>
                <w:rFonts w:ascii="Arial" w:hAnsi="Arial" w:cs="Arial"/>
                <w:b/>
              </w:rPr>
            </w:pPr>
            <w:r>
              <w:rPr>
                <w:rFonts w:ascii="Arial" w:hAnsi="Arial" w:cs="Arial"/>
                <w:b/>
                <w:sz w:val="14"/>
              </w:rPr>
              <w:t>TARGET</w:t>
            </w:r>
          </w:p>
        </w:tc>
        <w:tc>
          <w:tcPr>
            <w:tcW w:w="992" w:type="dxa"/>
            <w:vMerge w:val="restart"/>
            <w:shd w:val="clear" w:color="auto" w:fill="92D050"/>
            <w:vAlign w:val="center"/>
          </w:tcPr>
          <w:p>
            <w:pPr>
              <w:jc w:val="center"/>
              <w:rPr>
                <w:rFonts w:ascii="Arial" w:hAnsi="Arial" w:cs="Arial"/>
                <w:b/>
              </w:rPr>
            </w:pPr>
            <w:r>
              <w:rPr>
                <w:rFonts w:ascii="Arial" w:hAnsi="Arial" w:cs="Arial"/>
                <w:b/>
              </w:rPr>
              <w:t>PAGU ANGGARAN</w:t>
            </w:r>
          </w:p>
        </w:tc>
        <w:tc>
          <w:tcPr>
            <w:tcW w:w="737" w:type="dxa"/>
            <w:vMerge w:val="restart"/>
            <w:shd w:val="clear" w:color="auto" w:fill="92D050"/>
            <w:vAlign w:val="center"/>
          </w:tcPr>
          <w:p>
            <w:pPr>
              <w:jc w:val="center"/>
              <w:rPr>
                <w:rFonts w:ascii="Arial" w:hAnsi="Arial" w:cs="Arial"/>
                <w:b/>
              </w:rPr>
            </w:pPr>
            <w:r>
              <w:rPr>
                <w:rFonts w:ascii="Arial" w:hAnsi="Arial" w:cs="Arial"/>
                <w:b/>
              </w:rPr>
              <w:t>SISA ANGGARAN</w:t>
            </w:r>
          </w:p>
        </w:tc>
        <w:tc>
          <w:tcPr>
            <w:tcW w:w="2880" w:type="dxa"/>
            <w:gridSpan w:val="4"/>
            <w:shd w:val="clear" w:color="auto" w:fill="92D050"/>
            <w:vAlign w:val="center"/>
          </w:tcPr>
          <w:p>
            <w:pPr>
              <w:jc w:val="center"/>
              <w:rPr>
                <w:rFonts w:ascii="Arial" w:hAnsi="Arial" w:cs="Arial"/>
                <w:b/>
              </w:rPr>
            </w:pPr>
            <w:r>
              <w:rPr>
                <w:rFonts w:ascii="Arial" w:hAnsi="Arial" w:cs="Arial"/>
                <w:b/>
              </w:rPr>
              <w:t>TARGET</w:t>
            </w:r>
          </w:p>
        </w:tc>
        <w:tc>
          <w:tcPr>
            <w:tcW w:w="900" w:type="dxa"/>
            <w:vMerge w:val="restart"/>
            <w:shd w:val="clear" w:color="auto" w:fill="92D050"/>
            <w:vAlign w:val="center"/>
          </w:tcPr>
          <w:p>
            <w:pPr>
              <w:jc w:val="center"/>
              <w:rPr>
                <w:rFonts w:ascii="Arial" w:hAnsi="Arial" w:cs="Arial"/>
                <w:b/>
              </w:rPr>
            </w:pPr>
            <w:r>
              <w:rPr>
                <w:rFonts w:ascii="Arial" w:hAnsi="Arial" w:cs="Arial"/>
                <w:b/>
              </w:rPr>
              <w:t>REALISASI</w:t>
            </w:r>
          </w:p>
        </w:tc>
        <w:tc>
          <w:tcPr>
            <w:tcW w:w="898" w:type="dxa"/>
            <w:vMerge w:val="restart"/>
            <w:shd w:val="clear" w:color="auto" w:fill="92D050"/>
            <w:vAlign w:val="center"/>
          </w:tcPr>
          <w:p>
            <w:pPr>
              <w:jc w:val="center"/>
              <w:rPr>
                <w:rFonts w:ascii="Arial" w:hAnsi="Arial" w:cs="Arial"/>
                <w:b/>
              </w:rPr>
            </w:pPr>
            <w:r>
              <w:rPr>
                <w:rFonts w:ascii="Arial" w:hAnsi="Arial" w:cs="Arial"/>
                <w:b/>
              </w:rPr>
              <w:t>CAPAIAN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16" w:type="dxa"/>
            <w:vMerge w:val="continue"/>
            <w:shd w:val="clear" w:color="auto" w:fill="92D050"/>
            <w:vAlign w:val="center"/>
          </w:tcPr>
          <w:p>
            <w:pPr>
              <w:jc w:val="center"/>
              <w:rPr>
                <w:rFonts w:ascii="Arial" w:hAnsi="Arial" w:cs="Arial"/>
                <w:b/>
              </w:rPr>
            </w:pPr>
          </w:p>
        </w:tc>
        <w:tc>
          <w:tcPr>
            <w:tcW w:w="1440" w:type="dxa"/>
            <w:vMerge w:val="continue"/>
            <w:shd w:val="clear" w:color="auto" w:fill="92D050"/>
            <w:vAlign w:val="center"/>
          </w:tcPr>
          <w:p>
            <w:pPr>
              <w:jc w:val="center"/>
              <w:rPr>
                <w:rFonts w:ascii="Arial" w:hAnsi="Arial" w:cs="Arial"/>
                <w:b/>
              </w:rPr>
            </w:pPr>
          </w:p>
        </w:tc>
        <w:tc>
          <w:tcPr>
            <w:tcW w:w="1276" w:type="dxa"/>
            <w:vMerge w:val="continue"/>
            <w:shd w:val="clear" w:color="auto" w:fill="92D050"/>
            <w:vAlign w:val="center"/>
          </w:tcPr>
          <w:p>
            <w:pPr>
              <w:jc w:val="center"/>
              <w:rPr>
                <w:rFonts w:ascii="Arial" w:hAnsi="Arial" w:cs="Arial"/>
                <w:b/>
              </w:rPr>
            </w:pPr>
          </w:p>
        </w:tc>
        <w:tc>
          <w:tcPr>
            <w:tcW w:w="851" w:type="dxa"/>
            <w:vMerge w:val="continue"/>
            <w:shd w:val="clear" w:color="auto" w:fill="92D050"/>
            <w:vAlign w:val="center"/>
          </w:tcPr>
          <w:p>
            <w:pPr>
              <w:jc w:val="center"/>
              <w:rPr>
                <w:rFonts w:ascii="Arial" w:hAnsi="Arial" w:cs="Arial"/>
                <w:b/>
              </w:rPr>
            </w:pPr>
          </w:p>
        </w:tc>
        <w:tc>
          <w:tcPr>
            <w:tcW w:w="992" w:type="dxa"/>
            <w:vMerge w:val="continue"/>
            <w:shd w:val="clear" w:color="auto" w:fill="92D050"/>
          </w:tcPr>
          <w:p>
            <w:pPr>
              <w:jc w:val="center"/>
              <w:rPr>
                <w:rFonts w:ascii="Arial" w:hAnsi="Arial" w:cs="Arial"/>
                <w:b/>
              </w:rPr>
            </w:pPr>
          </w:p>
        </w:tc>
        <w:tc>
          <w:tcPr>
            <w:tcW w:w="737" w:type="dxa"/>
            <w:vMerge w:val="continue"/>
            <w:shd w:val="clear" w:color="auto" w:fill="92D050"/>
          </w:tcPr>
          <w:p>
            <w:pPr>
              <w:jc w:val="center"/>
              <w:rPr>
                <w:rFonts w:ascii="Arial" w:hAnsi="Arial" w:cs="Arial"/>
                <w:b/>
              </w:rPr>
            </w:pPr>
          </w:p>
        </w:tc>
        <w:tc>
          <w:tcPr>
            <w:tcW w:w="720" w:type="dxa"/>
            <w:shd w:val="clear" w:color="auto" w:fill="92D050"/>
            <w:vAlign w:val="center"/>
          </w:tcPr>
          <w:p>
            <w:pPr>
              <w:jc w:val="center"/>
              <w:rPr>
                <w:rFonts w:ascii="Arial" w:hAnsi="Arial" w:cs="Arial"/>
                <w:b/>
              </w:rPr>
            </w:pPr>
            <w:r>
              <w:rPr>
                <w:rFonts w:ascii="Arial" w:hAnsi="Arial" w:cs="Arial"/>
                <w:b/>
              </w:rPr>
              <w:t>TW 1</w:t>
            </w:r>
          </w:p>
        </w:tc>
        <w:tc>
          <w:tcPr>
            <w:tcW w:w="720" w:type="dxa"/>
            <w:shd w:val="clear" w:color="auto" w:fill="92D050"/>
            <w:vAlign w:val="center"/>
          </w:tcPr>
          <w:p>
            <w:pPr>
              <w:jc w:val="center"/>
              <w:rPr>
                <w:rFonts w:ascii="Arial" w:hAnsi="Arial" w:cs="Arial"/>
                <w:b/>
              </w:rPr>
            </w:pPr>
            <w:r>
              <w:rPr>
                <w:rFonts w:ascii="Arial" w:hAnsi="Arial" w:cs="Arial"/>
                <w:b/>
              </w:rPr>
              <w:t>TW 2</w:t>
            </w:r>
          </w:p>
        </w:tc>
        <w:tc>
          <w:tcPr>
            <w:tcW w:w="720" w:type="dxa"/>
            <w:shd w:val="clear" w:color="auto" w:fill="92D050"/>
            <w:vAlign w:val="center"/>
          </w:tcPr>
          <w:p>
            <w:pPr>
              <w:jc w:val="center"/>
              <w:rPr>
                <w:rFonts w:ascii="Arial" w:hAnsi="Arial" w:cs="Arial"/>
                <w:b/>
              </w:rPr>
            </w:pPr>
            <w:r>
              <w:rPr>
                <w:rFonts w:ascii="Arial" w:hAnsi="Arial" w:cs="Arial"/>
                <w:b/>
              </w:rPr>
              <w:t>TW 3</w:t>
            </w:r>
          </w:p>
        </w:tc>
        <w:tc>
          <w:tcPr>
            <w:tcW w:w="720" w:type="dxa"/>
            <w:shd w:val="clear" w:color="auto" w:fill="92D050"/>
            <w:vAlign w:val="center"/>
          </w:tcPr>
          <w:p>
            <w:pPr>
              <w:jc w:val="center"/>
              <w:rPr>
                <w:rFonts w:ascii="Arial" w:hAnsi="Arial" w:cs="Arial"/>
                <w:b/>
              </w:rPr>
            </w:pPr>
            <w:r>
              <w:rPr>
                <w:rFonts w:ascii="Arial" w:hAnsi="Arial" w:cs="Arial"/>
                <w:b/>
              </w:rPr>
              <w:t>TW 4</w:t>
            </w:r>
          </w:p>
        </w:tc>
        <w:tc>
          <w:tcPr>
            <w:tcW w:w="900" w:type="dxa"/>
            <w:vMerge w:val="continue"/>
            <w:shd w:val="clear" w:color="auto" w:fill="92D050"/>
          </w:tcPr>
          <w:p>
            <w:pPr>
              <w:jc w:val="center"/>
              <w:rPr>
                <w:rFonts w:ascii="Arial" w:hAnsi="Arial" w:cs="Arial"/>
                <w:b/>
              </w:rPr>
            </w:pPr>
          </w:p>
        </w:tc>
        <w:tc>
          <w:tcPr>
            <w:tcW w:w="898" w:type="dxa"/>
            <w:vMerge w:val="continue"/>
            <w:shd w:val="clear" w:color="auto" w:fill="92D050"/>
            <w:vAlign w:val="center"/>
          </w:tcPr>
          <w:p>
            <w:pPr>
              <w:jc w:val="center"/>
              <w:rPr>
                <w:rFonts w:ascii="Arial" w:hAnsi="Arial" w:cs="Arial"/>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 w:type="dxa"/>
          </w:tcPr>
          <w:p>
            <w:pPr>
              <w:jc w:val="center"/>
              <w:rPr>
                <w:rFonts w:ascii="Arial" w:hAnsi="Arial" w:cs="Arial"/>
                <w:sz w:val="18"/>
                <w:szCs w:val="18"/>
              </w:rPr>
            </w:pPr>
            <w:r>
              <w:rPr>
                <w:rFonts w:ascii="Arial" w:hAnsi="Arial" w:cs="Arial"/>
                <w:sz w:val="18"/>
                <w:szCs w:val="18"/>
              </w:rPr>
              <w:t>1</w:t>
            </w:r>
          </w:p>
        </w:tc>
        <w:tc>
          <w:tcPr>
            <w:tcW w:w="1440" w:type="dxa"/>
          </w:tcPr>
          <w:p>
            <w:pPr>
              <w:jc w:val="center"/>
              <w:rPr>
                <w:rFonts w:ascii="Arial" w:hAnsi="Arial" w:cs="Arial"/>
                <w:sz w:val="18"/>
                <w:szCs w:val="18"/>
              </w:rPr>
            </w:pPr>
            <w:r>
              <w:rPr>
                <w:rFonts w:ascii="Arial" w:hAnsi="Arial" w:cs="Arial"/>
                <w:sz w:val="18"/>
                <w:szCs w:val="18"/>
              </w:rPr>
              <w:t>2</w:t>
            </w:r>
          </w:p>
        </w:tc>
        <w:tc>
          <w:tcPr>
            <w:tcW w:w="1276" w:type="dxa"/>
          </w:tcPr>
          <w:p>
            <w:pPr>
              <w:jc w:val="center"/>
              <w:rPr>
                <w:rFonts w:ascii="Arial" w:hAnsi="Arial" w:cs="Arial"/>
                <w:sz w:val="18"/>
                <w:szCs w:val="18"/>
              </w:rPr>
            </w:pPr>
            <w:r>
              <w:rPr>
                <w:rFonts w:ascii="Arial" w:hAnsi="Arial" w:cs="Arial"/>
                <w:sz w:val="18"/>
                <w:szCs w:val="18"/>
              </w:rPr>
              <w:t>3</w:t>
            </w:r>
          </w:p>
        </w:tc>
        <w:tc>
          <w:tcPr>
            <w:tcW w:w="851" w:type="dxa"/>
          </w:tcPr>
          <w:p>
            <w:pPr>
              <w:jc w:val="center"/>
              <w:rPr>
                <w:rFonts w:ascii="Arial" w:hAnsi="Arial" w:cs="Arial"/>
                <w:sz w:val="18"/>
                <w:szCs w:val="18"/>
              </w:rPr>
            </w:pPr>
            <w:r>
              <w:rPr>
                <w:rFonts w:ascii="Arial" w:hAnsi="Arial" w:cs="Arial"/>
                <w:sz w:val="18"/>
                <w:szCs w:val="18"/>
              </w:rPr>
              <w:t>4</w:t>
            </w:r>
          </w:p>
        </w:tc>
        <w:tc>
          <w:tcPr>
            <w:tcW w:w="992" w:type="dxa"/>
          </w:tcPr>
          <w:p>
            <w:pPr>
              <w:jc w:val="center"/>
              <w:rPr>
                <w:rFonts w:ascii="Arial" w:hAnsi="Arial" w:cs="Arial"/>
                <w:sz w:val="18"/>
                <w:szCs w:val="18"/>
              </w:rPr>
            </w:pPr>
            <w:r>
              <w:rPr>
                <w:rFonts w:ascii="Arial" w:hAnsi="Arial" w:cs="Arial"/>
                <w:sz w:val="18"/>
                <w:szCs w:val="18"/>
              </w:rPr>
              <w:t>5</w:t>
            </w:r>
          </w:p>
        </w:tc>
        <w:tc>
          <w:tcPr>
            <w:tcW w:w="737" w:type="dxa"/>
          </w:tcPr>
          <w:p>
            <w:pPr>
              <w:jc w:val="center"/>
              <w:rPr>
                <w:rFonts w:ascii="Arial" w:hAnsi="Arial" w:cs="Arial"/>
                <w:sz w:val="18"/>
                <w:szCs w:val="18"/>
              </w:rPr>
            </w:pPr>
            <w:r>
              <w:rPr>
                <w:rFonts w:ascii="Arial" w:hAnsi="Arial" w:cs="Arial"/>
                <w:sz w:val="18"/>
                <w:szCs w:val="18"/>
              </w:rPr>
              <w:t>6</w:t>
            </w:r>
          </w:p>
        </w:tc>
        <w:tc>
          <w:tcPr>
            <w:tcW w:w="720" w:type="dxa"/>
          </w:tcPr>
          <w:p>
            <w:pPr>
              <w:jc w:val="center"/>
              <w:rPr>
                <w:rFonts w:ascii="Arial" w:hAnsi="Arial" w:cs="Arial"/>
                <w:sz w:val="18"/>
                <w:szCs w:val="18"/>
              </w:rPr>
            </w:pPr>
            <w:r>
              <w:rPr>
                <w:rFonts w:ascii="Arial" w:hAnsi="Arial" w:cs="Arial"/>
                <w:sz w:val="18"/>
                <w:szCs w:val="18"/>
              </w:rPr>
              <w:t>7</w:t>
            </w:r>
          </w:p>
        </w:tc>
        <w:tc>
          <w:tcPr>
            <w:tcW w:w="720" w:type="dxa"/>
          </w:tcPr>
          <w:p>
            <w:pPr>
              <w:rPr>
                <w:rFonts w:ascii="Arial" w:hAnsi="Arial" w:cs="Arial"/>
                <w:sz w:val="18"/>
                <w:szCs w:val="18"/>
              </w:rPr>
            </w:pPr>
            <w:r>
              <w:rPr>
                <w:rFonts w:ascii="Arial" w:hAnsi="Arial" w:cs="Arial"/>
                <w:sz w:val="18"/>
                <w:szCs w:val="18"/>
              </w:rPr>
              <w:t>8</w:t>
            </w:r>
          </w:p>
        </w:tc>
        <w:tc>
          <w:tcPr>
            <w:tcW w:w="720" w:type="dxa"/>
          </w:tcPr>
          <w:p>
            <w:pPr>
              <w:jc w:val="center"/>
              <w:rPr>
                <w:rFonts w:ascii="Arial" w:hAnsi="Arial" w:cs="Arial"/>
                <w:sz w:val="18"/>
                <w:szCs w:val="18"/>
              </w:rPr>
            </w:pPr>
            <w:r>
              <w:rPr>
                <w:rFonts w:ascii="Arial" w:hAnsi="Arial" w:cs="Arial"/>
                <w:sz w:val="18"/>
                <w:szCs w:val="18"/>
              </w:rPr>
              <w:t>9</w:t>
            </w:r>
          </w:p>
        </w:tc>
        <w:tc>
          <w:tcPr>
            <w:tcW w:w="720" w:type="dxa"/>
          </w:tcPr>
          <w:p>
            <w:pPr>
              <w:jc w:val="center"/>
              <w:rPr>
                <w:rFonts w:ascii="Arial" w:hAnsi="Arial" w:cs="Arial"/>
                <w:sz w:val="18"/>
                <w:szCs w:val="18"/>
              </w:rPr>
            </w:pPr>
            <w:r>
              <w:rPr>
                <w:rFonts w:ascii="Arial" w:hAnsi="Arial" w:cs="Arial"/>
                <w:sz w:val="18"/>
                <w:szCs w:val="18"/>
              </w:rPr>
              <w:t>10</w:t>
            </w:r>
          </w:p>
        </w:tc>
        <w:tc>
          <w:tcPr>
            <w:tcW w:w="900" w:type="dxa"/>
          </w:tcPr>
          <w:p>
            <w:pPr>
              <w:jc w:val="center"/>
              <w:rPr>
                <w:rFonts w:ascii="Arial" w:hAnsi="Arial" w:cs="Arial"/>
                <w:sz w:val="18"/>
                <w:szCs w:val="18"/>
              </w:rPr>
            </w:pPr>
            <w:r>
              <w:rPr>
                <w:rFonts w:ascii="Arial" w:hAnsi="Arial" w:cs="Arial"/>
                <w:sz w:val="18"/>
                <w:szCs w:val="18"/>
              </w:rPr>
              <w:t>11</w:t>
            </w:r>
          </w:p>
        </w:tc>
        <w:tc>
          <w:tcPr>
            <w:tcW w:w="898" w:type="dxa"/>
          </w:tcPr>
          <w:p>
            <w:pPr>
              <w:jc w:val="center"/>
              <w:rPr>
                <w:rFonts w:ascii="Arial" w:hAnsi="Arial" w:cs="Arial"/>
                <w:sz w:val="18"/>
                <w:szCs w:val="18"/>
              </w:rPr>
            </w:pPr>
            <w:r>
              <w:rPr>
                <w:rFonts w:ascii="Arial" w:hAnsi="Arial" w:cs="Arial"/>
                <w:sz w:val="18"/>
                <w:szCs w:val="18"/>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516" w:type="dxa"/>
          </w:tcPr>
          <w:p>
            <w:pPr>
              <w:rPr>
                <w:rFonts w:ascii="Arial Narrow" w:hAnsi="Arial Narrow" w:cs="Arial"/>
              </w:rPr>
            </w:pPr>
            <w:r>
              <w:rPr>
                <w:rFonts w:ascii="Arial Narrow" w:hAnsi="Arial Narrow" w:cs="Arial"/>
              </w:rPr>
              <w:t>1</w:t>
            </w:r>
          </w:p>
        </w:tc>
        <w:tc>
          <w:tcPr>
            <w:tcW w:w="1440" w:type="dxa"/>
          </w:tcPr>
          <w:p>
            <w:pPr>
              <w:rPr>
                <w:rFonts w:ascii="Arial Narrow" w:hAnsi="Arial Narrow" w:cs="Arial"/>
                <w:sz w:val="20"/>
              </w:rPr>
            </w:pPr>
            <w:r>
              <w:rPr>
                <w:rFonts w:ascii="Arial Narrow" w:hAnsi="Arial Narrow" w:cs="Arial"/>
                <w:sz w:val="20"/>
              </w:rPr>
              <w:t>Perencanaan, Penganggaran, dan Evaluasi Kinerja Perangkat Daerah</w:t>
            </w:r>
          </w:p>
          <w:p>
            <w:pPr>
              <w:rPr>
                <w:rFonts w:ascii="Arial Narrow" w:hAnsi="Arial Narrow" w:cs="Arial"/>
              </w:rPr>
            </w:pPr>
          </w:p>
        </w:tc>
        <w:tc>
          <w:tcPr>
            <w:tcW w:w="1276" w:type="dxa"/>
            <w:vAlign w:val="center"/>
          </w:tcPr>
          <w:p>
            <w:pPr>
              <w:jc w:val="center"/>
              <w:rPr>
                <w:rFonts w:ascii="Arial Narrow" w:hAnsi="Arial Narrow" w:cs="Arial"/>
              </w:rPr>
            </w:pPr>
            <w:r>
              <w:rPr>
                <w:rFonts w:ascii="Arial Narrow" w:hAnsi="Arial Narrow" w:cs="Arial"/>
                <w:sz w:val="20"/>
              </w:rPr>
              <w:t>Penyusunan Dokumen Perencanaan Perangkat DaerahDaerah</w:t>
            </w:r>
          </w:p>
        </w:tc>
        <w:tc>
          <w:tcPr>
            <w:tcW w:w="851" w:type="dxa"/>
            <w:vAlign w:val="center"/>
          </w:tcPr>
          <w:p>
            <w:pPr>
              <w:jc w:val="center"/>
              <w:rPr>
                <w:rFonts w:ascii="Arial Narrow" w:hAnsi="Arial Narrow" w:cs="Calibri"/>
              </w:rPr>
            </w:pPr>
            <w:r>
              <w:rPr>
                <w:rFonts w:ascii="Arial Narrow" w:hAnsi="Arial Narrow" w:cs="Calibri"/>
                <w:sz w:val="18"/>
              </w:rPr>
              <w:t>13  DOK</w:t>
            </w:r>
          </w:p>
        </w:tc>
        <w:tc>
          <w:tcPr>
            <w:tcW w:w="992" w:type="dxa"/>
            <w:vAlign w:val="center"/>
          </w:tcPr>
          <w:p>
            <w:pPr>
              <w:jc w:val="center"/>
              <w:rPr>
                <w:rFonts w:ascii="Century Gothic" w:hAnsi="Century Gothic" w:cs="Arial"/>
                <w:color w:val="000000"/>
                <w:sz w:val="18"/>
                <w:szCs w:val="18"/>
              </w:rPr>
            </w:pPr>
            <w:r>
              <w:rPr>
                <w:rFonts w:ascii="Century Gothic" w:hAnsi="Century Gothic" w:cs="Arial"/>
                <w:color w:val="000000"/>
                <w:sz w:val="18"/>
                <w:szCs w:val="18"/>
              </w:rPr>
              <w:t>242.000</w:t>
            </w:r>
          </w:p>
          <w:p>
            <w:pPr>
              <w:jc w:val="center"/>
              <w:rPr>
                <w:rFonts w:ascii="Arial Narrow" w:hAnsi="Arial Narrow" w:cs="Calibri"/>
              </w:rPr>
            </w:pPr>
          </w:p>
        </w:tc>
        <w:tc>
          <w:tcPr>
            <w:tcW w:w="737" w:type="dxa"/>
            <w:vAlign w:val="center"/>
          </w:tcPr>
          <w:p>
            <w:pPr>
              <w:jc w:val="center"/>
              <w:rPr>
                <w:rFonts w:ascii="Century Gothic" w:hAnsi="Century Gothic" w:cs="Arial"/>
                <w:color w:val="000000"/>
                <w:sz w:val="18"/>
                <w:szCs w:val="18"/>
              </w:rPr>
            </w:pPr>
            <w:r>
              <w:rPr>
                <w:rFonts w:ascii="Century Gothic" w:hAnsi="Century Gothic" w:cs="Arial"/>
                <w:color w:val="000000"/>
                <w:sz w:val="18"/>
                <w:szCs w:val="18"/>
              </w:rPr>
              <w:t>0</w:t>
            </w:r>
          </w:p>
          <w:p>
            <w:pPr>
              <w:jc w:val="center"/>
              <w:rPr>
                <w:rFonts w:ascii="Arial Narrow" w:hAnsi="Arial Narrow" w:cs="Calibri"/>
              </w:rPr>
            </w:pPr>
          </w:p>
        </w:tc>
        <w:tc>
          <w:tcPr>
            <w:tcW w:w="720" w:type="dxa"/>
          </w:tcPr>
          <w:p>
            <w:pPr>
              <w:jc w:val="center"/>
              <w:rPr>
                <w:rFonts w:ascii="Arial Narrow" w:hAnsi="Arial Narrow" w:cs="Calibri"/>
              </w:rPr>
            </w:pPr>
            <w:r>
              <w:rPr>
                <w:rFonts w:ascii="Arial Narrow" w:hAnsi="Arial Narrow" w:cs="Calibri"/>
              </w:rPr>
              <w:t>13</w:t>
            </w:r>
          </w:p>
        </w:tc>
        <w:tc>
          <w:tcPr>
            <w:tcW w:w="720" w:type="dxa"/>
          </w:tcPr>
          <w:p>
            <w:pPr>
              <w:jc w:val="center"/>
              <w:rPr>
                <w:rFonts w:ascii="Arial Narrow" w:hAnsi="Arial Narrow" w:cs="Arial"/>
              </w:rPr>
            </w:pPr>
            <w:r>
              <w:rPr>
                <w:rFonts w:ascii="Arial Narrow" w:hAnsi="Arial Narrow" w:cs="Arial"/>
              </w:rPr>
              <w:t>0</w:t>
            </w:r>
          </w:p>
        </w:tc>
        <w:tc>
          <w:tcPr>
            <w:tcW w:w="720" w:type="dxa"/>
          </w:tcPr>
          <w:p>
            <w:pPr>
              <w:jc w:val="center"/>
              <w:rPr>
                <w:rFonts w:ascii="Arial Narrow" w:hAnsi="Arial Narrow" w:cs="Arial"/>
              </w:rPr>
            </w:pPr>
          </w:p>
        </w:tc>
        <w:tc>
          <w:tcPr>
            <w:tcW w:w="720" w:type="dxa"/>
          </w:tcPr>
          <w:p>
            <w:pPr>
              <w:jc w:val="center"/>
              <w:rPr>
                <w:rFonts w:ascii="Arial Narrow" w:hAnsi="Arial Narrow" w:cs="Calibri"/>
              </w:rPr>
            </w:pPr>
            <w:r>
              <w:rPr>
                <w:rFonts w:ascii="Arial Narrow" w:hAnsi="Arial Narrow" w:cs="Calibri"/>
              </w:rPr>
              <w:t>0</w:t>
            </w:r>
          </w:p>
        </w:tc>
        <w:tc>
          <w:tcPr>
            <w:tcW w:w="900" w:type="dxa"/>
          </w:tcPr>
          <w:p>
            <w:pPr>
              <w:jc w:val="center"/>
              <w:rPr>
                <w:rFonts w:ascii="Arial Narrow" w:hAnsi="Arial Narrow" w:cs="Arial"/>
              </w:rPr>
            </w:pPr>
            <w:r>
              <w:rPr>
                <w:rFonts w:ascii="Arial Narrow" w:hAnsi="Arial Narrow" w:cs="Arial"/>
              </w:rPr>
              <w:t>13</w:t>
            </w:r>
          </w:p>
        </w:tc>
        <w:tc>
          <w:tcPr>
            <w:tcW w:w="898" w:type="dxa"/>
          </w:tcPr>
          <w:p>
            <w:pPr>
              <w:jc w:val="center"/>
              <w:rPr>
                <w:rFonts w:ascii="Arial Narrow" w:hAnsi="Arial Narrow" w:cs="Arial"/>
              </w:rPr>
            </w:pPr>
            <w:r>
              <w:rPr>
                <w:rFonts w:ascii="Arial Narrow" w:hAnsi="Arial Narrow" w:cs="Arial"/>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 w:type="dxa"/>
          </w:tcPr>
          <w:p>
            <w:pPr>
              <w:rPr>
                <w:rFonts w:ascii="Arial Narrow" w:hAnsi="Arial Narrow" w:cs="Arial"/>
              </w:rPr>
            </w:pPr>
          </w:p>
        </w:tc>
        <w:tc>
          <w:tcPr>
            <w:tcW w:w="1440" w:type="dxa"/>
          </w:tcPr>
          <w:p>
            <w:pPr>
              <w:rPr>
                <w:rFonts w:ascii="Arial Narrow" w:hAnsi="Arial Narrow" w:cs="Arial"/>
              </w:rPr>
            </w:pPr>
          </w:p>
        </w:tc>
        <w:tc>
          <w:tcPr>
            <w:tcW w:w="1276" w:type="dxa"/>
            <w:vAlign w:val="center"/>
          </w:tcPr>
          <w:p>
            <w:pPr>
              <w:rPr>
                <w:rFonts w:ascii="Arial Narrow" w:hAnsi="Arial Narrow" w:cs="Arial"/>
                <w:sz w:val="20"/>
              </w:rPr>
            </w:pPr>
            <w:r>
              <w:rPr>
                <w:rFonts w:ascii="Arial Narrow" w:hAnsi="Arial Narrow" w:cs="Arial"/>
                <w:sz w:val="20"/>
              </w:rPr>
              <w:t>Evaluasi Kinerja Perangkat Daerah</w:t>
            </w:r>
          </w:p>
          <w:p>
            <w:pPr>
              <w:jc w:val="center"/>
              <w:rPr>
                <w:rFonts w:ascii="Arial Narrow" w:hAnsi="Arial Narrow" w:cs="Arial"/>
              </w:rPr>
            </w:pPr>
          </w:p>
        </w:tc>
        <w:tc>
          <w:tcPr>
            <w:tcW w:w="851" w:type="dxa"/>
            <w:vAlign w:val="center"/>
          </w:tcPr>
          <w:p>
            <w:pPr>
              <w:jc w:val="center"/>
              <w:rPr>
                <w:rFonts w:ascii="Arial Narrow" w:hAnsi="Arial Narrow" w:cs="Calibri"/>
                <w:sz w:val="18"/>
              </w:rPr>
            </w:pPr>
            <w:r>
              <w:rPr>
                <w:rFonts w:ascii="Arial Narrow" w:hAnsi="Arial Narrow" w:cs="Calibri"/>
                <w:sz w:val="16"/>
              </w:rPr>
              <w:t>22 LAPORAN</w:t>
            </w:r>
          </w:p>
        </w:tc>
        <w:tc>
          <w:tcPr>
            <w:tcW w:w="992" w:type="dxa"/>
            <w:vAlign w:val="center"/>
          </w:tcPr>
          <w:p>
            <w:pPr>
              <w:jc w:val="center"/>
              <w:rPr>
                <w:rFonts w:ascii="Arial Narrow" w:hAnsi="Arial Narrow" w:cs="Calibri"/>
                <w:sz w:val="16"/>
              </w:rPr>
            </w:pPr>
            <w:r>
              <w:rPr>
                <w:rFonts w:ascii="Century Gothic" w:hAnsi="Century Gothic" w:cs="Arial"/>
                <w:color w:val="000000"/>
                <w:sz w:val="16"/>
                <w:szCs w:val="18"/>
              </w:rPr>
              <w:t>1.535.200</w:t>
            </w:r>
          </w:p>
        </w:tc>
        <w:tc>
          <w:tcPr>
            <w:tcW w:w="737" w:type="dxa"/>
            <w:vAlign w:val="center"/>
          </w:tcPr>
          <w:p>
            <w:pPr>
              <w:jc w:val="center"/>
              <w:rPr>
                <w:rFonts w:ascii="Arial Narrow" w:hAnsi="Arial Narrow" w:cs="Calibri"/>
                <w:sz w:val="16"/>
              </w:rPr>
            </w:pPr>
            <w:r>
              <w:rPr>
                <w:rFonts w:ascii="Tahoma" w:hAnsi="Tahoma" w:cs="Tahoma" w:eastAsiaTheme="minorHAnsi"/>
                <w:sz w:val="16"/>
                <w:szCs w:val="12"/>
              </w:rPr>
              <w:t>784.200</w:t>
            </w:r>
          </w:p>
        </w:tc>
        <w:tc>
          <w:tcPr>
            <w:tcW w:w="720" w:type="dxa"/>
          </w:tcPr>
          <w:p>
            <w:pPr>
              <w:jc w:val="center"/>
              <w:rPr>
                <w:rFonts w:ascii="Arial Narrow" w:hAnsi="Arial Narrow" w:cs="Calibri"/>
              </w:rPr>
            </w:pPr>
            <w:r>
              <w:rPr>
                <w:rFonts w:ascii="Arial Narrow" w:hAnsi="Arial Narrow" w:cs="Calibri"/>
              </w:rPr>
              <w:t>11</w:t>
            </w:r>
          </w:p>
        </w:tc>
        <w:tc>
          <w:tcPr>
            <w:tcW w:w="720" w:type="dxa"/>
          </w:tcPr>
          <w:p>
            <w:pPr>
              <w:jc w:val="center"/>
              <w:rPr>
                <w:rFonts w:ascii="Arial Narrow" w:hAnsi="Arial Narrow" w:cs="Arial"/>
              </w:rPr>
            </w:pPr>
          </w:p>
        </w:tc>
        <w:tc>
          <w:tcPr>
            <w:tcW w:w="720" w:type="dxa"/>
          </w:tcPr>
          <w:p>
            <w:pPr>
              <w:jc w:val="center"/>
              <w:rPr>
                <w:rFonts w:ascii="Arial Narrow" w:hAnsi="Arial Narrow" w:cs="Arial"/>
              </w:rPr>
            </w:pPr>
          </w:p>
        </w:tc>
        <w:tc>
          <w:tcPr>
            <w:tcW w:w="720" w:type="dxa"/>
          </w:tcPr>
          <w:p>
            <w:pPr>
              <w:jc w:val="center"/>
              <w:rPr>
                <w:rFonts w:ascii="Arial Narrow" w:hAnsi="Arial Narrow" w:cs="Calibri"/>
              </w:rPr>
            </w:pPr>
          </w:p>
        </w:tc>
        <w:tc>
          <w:tcPr>
            <w:tcW w:w="900" w:type="dxa"/>
          </w:tcPr>
          <w:p>
            <w:pPr>
              <w:jc w:val="center"/>
              <w:rPr>
                <w:rFonts w:ascii="Arial Narrow" w:hAnsi="Arial Narrow" w:cs="Arial"/>
              </w:rPr>
            </w:pPr>
            <w:r>
              <w:rPr>
                <w:rFonts w:ascii="Arial Narrow" w:hAnsi="Arial Narrow" w:cs="Arial"/>
              </w:rPr>
              <w:t>11</w:t>
            </w:r>
          </w:p>
        </w:tc>
        <w:tc>
          <w:tcPr>
            <w:tcW w:w="898" w:type="dxa"/>
          </w:tcPr>
          <w:p>
            <w:pPr>
              <w:jc w:val="center"/>
              <w:rPr>
                <w:rFonts w:ascii="Arial Narrow" w:hAnsi="Arial Narrow" w:cs="Arial"/>
              </w:rPr>
            </w:pPr>
            <w:r>
              <w:rPr>
                <w:rFonts w:ascii="Arial Narrow" w:hAnsi="Arial Narrow" w:cs="Arial"/>
              </w:rPr>
              <w:t>49%</w:t>
            </w:r>
          </w:p>
        </w:tc>
      </w:tr>
    </w:tbl>
    <w:p>
      <w:pPr>
        <w:spacing w:after="0" w:line="240" w:lineRule="auto"/>
        <w:ind w:left="567" w:right="992"/>
        <w:rPr>
          <w:rFonts w:ascii="Arial" w:hAnsi="Arial" w:cs="Arial"/>
          <w:sz w:val="24"/>
          <w:szCs w:val="24"/>
        </w:rPr>
      </w:pPr>
    </w:p>
    <w:p>
      <w:pPr>
        <w:pStyle w:val="15"/>
        <w:numPr>
          <w:ilvl w:val="0"/>
          <w:numId w:val="19"/>
        </w:numPr>
        <w:spacing w:after="0"/>
        <w:ind w:left="567"/>
        <w:jc w:val="both"/>
        <w:rPr>
          <w:rFonts w:ascii="Arial" w:hAnsi="Arial" w:cs="Arial"/>
          <w:sz w:val="24"/>
          <w:szCs w:val="24"/>
        </w:rPr>
      </w:pPr>
      <w:r>
        <w:rPr>
          <w:rFonts w:ascii="Arial" w:hAnsi="Arial" w:cs="Arial"/>
          <w:sz w:val="24"/>
          <w:szCs w:val="24"/>
        </w:rPr>
        <w:t>KETERANGAN KEBERHASILAN/KEGAGALAN CAPAIAN KINERJA :</w:t>
      </w:r>
    </w:p>
    <w:p>
      <w:pPr>
        <w:spacing w:after="0"/>
        <w:ind w:left="567" w:firstLine="567"/>
        <w:jc w:val="both"/>
        <w:rPr>
          <w:rFonts w:ascii="Arial" w:hAnsi="Arial" w:cs="Arial"/>
          <w:sz w:val="24"/>
          <w:szCs w:val="24"/>
        </w:rPr>
      </w:pPr>
      <w:r>
        <w:rPr>
          <w:rFonts w:ascii="Arial" w:hAnsi="Arial" w:cs="Arial"/>
          <w:sz w:val="24"/>
          <w:szCs w:val="24"/>
        </w:rPr>
        <w:t>Target Kinerja Sub Kegiatan Perencanaan, Penganggaran, dan Evaluasi Kinerja Perangkat Daerah pada triwulan I adalah tersedianya Laporan Dokumen Perencanaan Perangkat DaerahDaerah dan Evaluasi Kinerja Perangkat Daerah</w:t>
      </w:r>
    </w:p>
    <w:p>
      <w:pPr>
        <w:spacing w:after="0"/>
        <w:ind w:left="567"/>
        <w:jc w:val="both"/>
        <w:rPr>
          <w:rFonts w:ascii="Arial" w:hAnsi="Arial" w:cs="Arial"/>
          <w:sz w:val="24"/>
          <w:szCs w:val="24"/>
        </w:rPr>
      </w:pPr>
      <w:r>
        <w:rPr>
          <w:rFonts w:ascii="Arial" w:hAnsi="Arial" w:cs="Arial"/>
          <w:sz w:val="24"/>
          <w:szCs w:val="24"/>
        </w:rPr>
        <w:t>dokumen tersebut telah tersedia di triwulan I , yakni :</w:t>
      </w:r>
    </w:p>
    <w:p>
      <w:pPr>
        <w:pStyle w:val="15"/>
        <w:numPr>
          <w:ilvl w:val="0"/>
          <w:numId w:val="20"/>
        </w:numPr>
        <w:spacing w:after="0"/>
        <w:ind w:left="993"/>
        <w:jc w:val="both"/>
        <w:rPr>
          <w:rFonts w:ascii="Arial" w:hAnsi="Arial" w:cs="Arial"/>
          <w:sz w:val="24"/>
          <w:szCs w:val="24"/>
        </w:rPr>
      </w:pPr>
      <w:r>
        <w:rPr>
          <w:rFonts w:ascii="Arial" w:hAnsi="Arial" w:cs="Arial"/>
          <w:sz w:val="24"/>
          <w:szCs w:val="24"/>
        </w:rPr>
        <w:t xml:space="preserve">Renstra, Renja, PK, KAK, DPA, DPA Pergeseran, RKA, RKA pergeseran, Rencana Aksi,table keselarasan, </w:t>
      </w:r>
    </w:p>
    <w:p>
      <w:pPr>
        <w:spacing w:after="0"/>
        <w:jc w:val="both"/>
        <w:rPr>
          <w:rFonts w:ascii="Arial" w:hAnsi="Arial" w:cs="Arial"/>
          <w:sz w:val="24"/>
          <w:szCs w:val="24"/>
        </w:rPr>
      </w:pPr>
    </w:p>
    <w:p>
      <w:pPr>
        <w:spacing w:after="0"/>
        <w:ind w:left="567" w:firstLine="567"/>
        <w:jc w:val="both"/>
        <w:rPr>
          <w:rFonts w:ascii="Arial" w:hAnsi="Arial" w:cs="Arial"/>
          <w:sz w:val="24"/>
          <w:szCs w:val="24"/>
        </w:rPr>
      </w:pPr>
      <w:r>
        <w:rPr>
          <w:rFonts w:ascii="Arial" w:hAnsi="Arial" w:cs="Arial"/>
          <w:sz w:val="24"/>
          <w:szCs w:val="24"/>
        </w:rPr>
        <w:t>Beberapa kegiatan/aktivitas yang dilakukan dalam rangka pencapaian kinerja subkegiatan Dokumen Perencanaan Perangkat DaerahDaera dan Evaluasi Kinerja Perangkat Daerah, pada triwulan I, antara lain :.</w:t>
      </w:r>
    </w:p>
    <w:p>
      <w:pPr>
        <w:pStyle w:val="15"/>
        <w:numPr>
          <w:ilvl w:val="0"/>
          <w:numId w:val="21"/>
        </w:numPr>
        <w:spacing w:before="120" w:after="0"/>
        <w:ind w:left="1134"/>
        <w:jc w:val="both"/>
        <w:rPr>
          <w:rFonts w:ascii="Arial" w:hAnsi="Arial" w:cs="Arial"/>
          <w:sz w:val="24"/>
          <w:szCs w:val="24"/>
        </w:rPr>
      </w:pPr>
      <w:r>
        <w:rPr>
          <w:rFonts w:ascii="Arial" w:hAnsi="Arial" w:cs="Arial"/>
          <w:sz w:val="24"/>
          <w:szCs w:val="24"/>
        </w:rPr>
        <w:t>Tetap melakukan pendampingan dan konsultasi penginputan melalui SIPD RI dan SIMDA FMIS</w:t>
      </w:r>
    </w:p>
    <w:p>
      <w:pPr>
        <w:pStyle w:val="15"/>
        <w:numPr>
          <w:ilvl w:val="0"/>
          <w:numId w:val="21"/>
        </w:numPr>
        <w:spacing w:before="120" w:after="0"/>
        <w:ind w:left="1134"/>
        <w:jc w:val="both"/>
        <w:rPr>
          <w:rFonts w:ascii="Arial" w:hAnsi="Arial" w:cs="Arial"/>
          <w:sz w:val="24"/>
          <w:szCs w:val="24"/>
        </w:rPr>
      </w:pPr>
      <w:r>
        <w:rPr>
          <w:rFonts w:ascii="Arial" w:hAnsi="Arial" w:cs="Arial"/>
          <w:sz w:val="24"/>
          <w:szCs w:val="24"/>
        </w:rPr>
        <w:t xml:space="preserve">Menyusun dan menyelesaikan Inputan Renstra dan Renja di aplikasi SIPD RI, </w:t>
      </w:r>
    </w:p>
    <w:p>
      <w:pPr>
        <w:pStyle w:val="15"/>
        <w:numPr>
          <w:ilvl w:val="0"/>
          <w:numId w:val="21"/>
        </w:numPr>
        <w:spacing w:before="120" w:after="0"/>
        <w:ind w:left="1134"/>
        <w:jc w:val="both"/>
        <w:rPr>
          <w:rFonts w:ascii="Arial" w:hAnsi="Arial" w:cs="Arial"/>
          <w:sz w:val="24"/>
          <w:szCs w:val="24"/>
        </w:rPr>
      </w:pPr>
      <w:r>
        <w:rPr>
          <w:rFonts w:ascii="Arial" w:hAnsi="Arial" w:cs="Arial"/>
          <w:sz w:val="24"/>
          <w:szCs w:val="24"/>
        </w:rPr>
        <w:t xml:space="preserve">Telah terselesaikan rencana kerja 2023, </w:t>
      </w:r>
    </w:p>
    <w:p>
      <w:pPr>
        <w:pStyle w:val="15"/>
        <w:numPr>
          <w:ilvl w:val="0"/>
          <w:numId w:val="21"/>
        </w:numPr>
        <w:spacing w:before="120" w:after="0"/>
        <w:ind w:left="1134"/>
        <w:jc w:val="both"/>
        <w:rPr>
          <w:rFonts w:ascii="Arial" w:hAnsi="Arial" w:cs="Arial"/>
          <w:sz w:val="24"/>
          <w:szCs w:val="24"/>
        </w:rPr>
      </w:pPr>
      <w:r>
        <w:rPr>
          <w:rFonts w:ascii="Arial" w:hAnsi="Arial" w:cs="Arial"/>
          <w:sz w:val="24"/>
          <w:szCs w:val="24"/>
        </w:rPr>
        <w:t xml:space="preserve">Menyusun RKA dan DPA tahun anggaran 2023 </w:t>
      </w:r>
    </w:p>
    <w:p>
      <w:pPr>
        <w:pStyle w:val="15"/>
        <w:numPr>
          <w:ilvl w:val="0"/>
          <w:numId w:val="21"/>
        </w:numPr>
        <w:spacing w:before="120" w:after="0"/>
        <w:ind w:left="1134"/>
        <w:jc w:val="both"/>
        <w:rPr>
          <w:rFonts w:ascii="Arial" w:hAnsi="Arial" w:cs="Arial"/>
          <w:sz w:val="24"/>
          <w:szCs w:val="24"/>
        </w:rPr>
      </w:pPr>
      <w:r>
        <w:rPr>
          <w:rFonts w:ascii="Arial" w:hAnsi="Arial" w:cs="Arial"/>
          <w:sz w:val="24"/>
          <w:szCs w:val="24"/>
        </w:rPr>
        <w:t>Keberhasilan pencapaian kinerja ini karena kegiatan pelaksanaan tepat waktu sesuai dengan jadwal  yang telah ditetapkan serta adanya koordinasi dan kerjasama yang baik dari semua pemangku kinerja.</w:t>
      </w:r>
    </w:p>
    <w:p>
      <w:pPr>
        <w:spacing w:after="0" w:line="240" w:lineRule="auto"/>
        <w:rPr>
          <w:rFonts w:ascii="Arial" w:hAnsi="Arial" w:cs="Arial"/>
          <w:sz w:val="24"/>
          <w:szCs w:val="24"/>
          <w:lang w:val="en-US"/>
        </w:rPr>
      </w:pPr>
      <w:r>
        <w:rPr>
          <w:rFonts w:ascii="Arial" w:hAnsi="Arial" w:cs="Arial"/>
          <w:sz w:val="24"/>
          <w:szCs w:val="24"/>
        </w:rPr>
        <w:br w:type="page"/>
      </w:r>
    </w:p>
    <w:p>
      <w:pPr>
        <w:spacing w:after="0"/>
        <w:jc w:val="center"/>
        <w:rPr>
          <w:rFonts w:ascii="Arial" w:hAnsi="Arial" w:cs="Arial"/>
          <w:b/>
          <w:sz w:val="24"/>
          <w:szCs w:val="24"/>
        </w:rPr>
      </w:pPr>
    </w:p>
    <w:tbl>
      <w:tblPr>
        <w:tblStyle w:val="12"/>
        <w:tblW w:w="10141"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17"/>
        <w:gridCol w:w="1194"/>
        <w:gridCol w:w="49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17" w:type="dxa"/>
          </w:tcPr>
          <w:p>
            <w:pPr>
              <w:jc w:val="center"/>
              <w:rPr>
                <w:rFonts w:ascii="Arial" w:hAnsi="Arial" w:cs="Arial"/>
                <w:sz w:val="24"/>
                <w:szCs w:val="24"/>
              </w:rPr>
            </w:pPr>
            <w:r>
              <w:rPr>
                <w:rFonts w:ascii="Arial" w:hAnsi="Arial" w:cs="Arial"/>
                <w:sz w:val="24"/>
                <w:szCs w:val="24"/>
              </w:rPr>
              <w:t>Mengetahui,</w:t>
            </w:r>
          </w:p>
          <w:p>
            <w:pPr>
              <w:jc w:val="center"/>
              <w:rPr>
                <w:rFonts w:ascii="Arial" w:hAnsi="Arial" w:cs="Arial"/>
                <w:sz w:val="24"/>
                <w:szCs w:val="24"/>
              </w:rPr>
            </w:pPr>
            <w:r>
              <w:rPr>
                <w:rFonts w:ascii="Arial" w:hAnsi="Arial" w:cs="Arial"/>
                <w:sz w:val="24"/>
                <w:szCs w:val="24"/>
              </w:rPr>
              <w:t>ATASAN LANGSUNG</w:t>
            </w:r>
          </w:p>
          <w:p>
            <w:pPr>
              <w:jc w:val="center"/>
              <w:rPr>
                <w:rFonts w:ascii="Arial" w:hAnsi="Arial" w:cs="Arial"/>
                <w:sz w:val="24"/>
                <w:szCs w:val="24"/>
                <w:lang w:val="en-US"/>
              </w:rPr>
            </w:pPr>
            <w:r>
              <w:rPr>
                <w:rFonts w:ascii="Arial" w:hAnsi="Arial" w:cs="Arial"/>
                <w:sz w:val="24"/>
                <w:szCs w:val="24"/>
              </w:rPr>
              <w:t>CAMAT ASTAMBUL</w:t>
            </w:r>
          </w:p>
          <w:p>
            <w:pPr>
              <w:jc w:val="center"/>
              <w:rPr>
                <w:rFonts w:ascii="Arial" w:hAnsi="Arial" w:cs="Arial"/>
                <w:sz w:val="24"/>
                <w:szCs w:val="24"/>
                <w:lang w:val="en-US"/>
              </w:rPr>
            </w:pPr>
            <w:r>
              <w:rPr>
                <w:rFonts w:ascii="Arial" w:hAnsi="Arial" w:cs="Arial"/>
                <w:iCs/>
                <w:color w:val="000000"/>
                <w:lang w:val="en-US"/>
              </w:rPr>
              <w:drawing>
                <wp:inline distT="0" distB="0" distL="0" distR="0">
                  <wp:extent cx="1339215" cy="722630"/>
                  <wp:effectExtent l="0" t="0" r="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10" cstate="print">
                            <a:extLst>
                              <a:ext uri="{BEBA8EAE-BF5A-486C-A8C5-ECC9F3942E4B}">
                                <a14:imgProps xmlns:a14="http://schemas.microsoft.com/office/drawing/2010/main">
                                  <a14:imgLayer r:embed="rId11">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339702" cy="723013"/>
                          </a:xfrm>
                          <a:prstGeom prst="rect">
                            <a:avLst/>
                          </a:prstGeom>
                        </pic:spPr>
                      </pic:pic>
                    </a:graphicData>
                  </a:graphic>
                </wp:inline>
              </w:drawing>
            </w:r>
          </w:p>
          <w:p>
            <w:pPr>
              <w:jc w:val="center"/>
              <w:rPr>
                <w:rFonts w:ascii="Arial" w:hAnsi="Arial" w:cs="Arial"/>
                <w:sz w:val="24"/>
                <w:szCs w:val="24"/>
              </w:rPr>
            </w:pPr>
            <w:r>
              <w:rPr>
                <w:rFonts w:ascii="Arial" w:hAnsi="Arial" w:cs="Arial"/>
                <w:sz w:val="24"/>
                <w:szCs w:val="24"/>
              </w:rPr>
              <w:t>AHMAD FAUZI, S.Sos.MM</w:t>
            </w:r>
          </w:p>
          <w:p>
            <w:pPr>
              <w:jc w:val="center"/>
              <w:rPr>
                <w:rFonts w:ascii="Arial" w:hAnsi="Arial" w:cs="Arial"/>
                <w:sz w:val="24"/>
                <w:szCs w:val="24"/>
              </w:rPr>
            </w:pPr>
            <w:r>
              <w:rPr>
                <w:rFonts w:ascii="Arial" w:hAnsi="Arial" w:cs="Arial"/>
                <w:sz w:val="24"/>
                <w:szCs w:val="24"/>
              </w:rPr>
              <w:t>NIP. 196801231998031007</w:t>
            </w:r>
          </w:p>
        </w:tc>
        <w:tc>
          <w:tcPr>
            <w:tcW w:w="1194" w:type="dxa"/>
          </w:tcPr>
          <w:p>
            <w:pPr>
              <w:ind w:right="992"/>
              <w:rPr>
                <w:rFonts w:ascii="Arial" w:hAnsi="Arial" w:cs="Arial"/>
                <w:sz w:val="24"/>
                <w:szCs w:val="24"/>
              </w:rPr>
            </w:pPr>
          </w:p>
        </w:tc>
        <w:tc>
          <w:tcPr>
            <w:tcW w:w="4930" w:type="dxa"/>
          </w:tcPr>
          <w:p>
            <w:pPr>
              <w:jc w:val="center"/>
              <w:rPr>
                <w:rFonts w:ascii="Arial" w:hAnsi="Arial" w:cs="Arial"/>
                <w:sz w:val="24"/>
                <w:szCs w:val="24"/>
              </w:rPr>
            </w:pPr>
            <w:r>
              <w:rPr>
                <w:rFonts w:ascii="Arial" w:hAnsi="Arial" w:cs="Arial"/>
                <w:sz w:val="24"/>
                <w:szCs w:val="24"/>
              </w:rPr>
              <w:t>Astambul, 30 Maret  2023</w:t>
            </w:r>
          </w:p>
          <w:p>
            <w:pPr>
              <w:jc w:val="center"/>
              <w:rPr>
                <w:rFonts w:ascii="Arial" w:hAnsi="Arial" w:cs="Arial"/>
                <w:sz w:val="24"/>
                <w:szCs w:val="24"/>
              </w:rPr>
            </w:pPr>
            <w:r>
              <w:rPr>
                <w:rFonts w:ascii="Arial" w:hAnsi="Arial" w:cs="Arial"/>
                <w:sz w:val="24"/>
                <w:szCs w:val="24"/>
              </w:rPr>
              <w:t xml:space="preserve">Plt. KEPALA SUBBAGIAN PERENCANAAN, KEUANGAN DAN ASET </w:t>
            </w:r>
          </w:p>
          <w:p>
            <w:pPr>
              <w:ind w:left="601"/>
              <w:rPr>
                <w:rFonts w:ascii="Arial" w:hAnsi="Arial" w:cs="Arial"/>
                <w:sz w:val="24"/>
                <w:szCs w:val="24"/>
              </w:rPr>
            </w:pPr>
            <w:r>
              <w:rPr>
                <w:rFonts w:ascii="Arial" w:hAnsi="Arial" w:cs="Arial"/>
                <w:sz w:val="24"/>
                <w:szCs w:val="24"/>
                <w:lang w:val="en-US"/>
              </w:rPr>
              <w:drawing>
                <wp:inline distT="0" distB="0" distL="0" distR="0">
                  <wp:extent cx="1796415" cy="850265"/>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12" cstate="print">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801098" cy="852590"/>
                          </a:xfrm>
                          <a:prstGeom prst="rect">
                            <a:avLst/>
                          </a:prstGeom>
                        </pic:spPr>
                      </pic:pic>
                    </a:graphicData>
                  </a:graphic>
                </wp:inline>
              </w:drawing>
            </w:r>
          </w:p>
          <w:p>
            <w:pPr>
              <w:ind w:left="743"/>
              <w:rPr>
                <w:rFonts w:ascii="Arial" w:hAnsi="Arial" w:cs="Arial"/>
                <w:sz w:val="24"/>
                <w:szCs w:val="24"/>
              </w:rPr>
            </w:pPr>
            <w:r>
              <w:rPr>
                <w:rFonts w:ascii="Arial" w:hAnsi="Arial" w:cs="Arial"/>
                <w:sz w:val="24"/>
                <w:szCs w:val="24"/>
              </w:rPr>
              <w:t>Dewi Erliyani, S.Sos</w:t>
            </w:r>
          </w:p>
          <w:p>
            <w:pPr>
              <w:ind w:left="743"/>
              <w:rPr>
                <w:rFonts w:ascii="Arial" w:hAnsi="Arial" w:cs="Arial"/>
                <w:sz w:val="24"/>
                <w:szCs w:val="24"/>
              </w:rPr>
            </w:pPr>
            <w:r>
              <w:rPr>
                <w:rFonts w:ascii="Arial" w:hAnsi="Arial" w:cs="Arial"/>
                <w:sz w:val="24"/>
                <w:szCs w:val="24"/>
              </w:rPr>
              <w:t>NIP 197904211998032001</w:t>
            </w:r>
          </w:p>
        </w:tc>
      </w:tr>
    </w:tbl>
    <w:p>
      <w:pPr>
        <w:spacing w:after="0"/>
        <w:jc w:val="center"/>
        <w:rPr>
          <w:rFonts w:ascii="Arial" w:hAnsi="Arial" w:cs="Arial"/>
          <w:b/>
          <w:sz w:val="24"/>
          <w:szCs w:val="24"/>
        </w:rPr>
      </w:pPr>
    </w:p>
    <w:p>
      <w:pPr>
        <w:spacing w:after="0"/>
        <w:jc w:val="center"/>
        <w:rPr>
          <w:rFonts w:ascii="Arial" w:hAnsi="Arial" w:cs="Arial"/>
          <w:b/>
          <w:sz w:val="24"/>
          <w:szCs w:val="24"/>
        </w:rPr>
      </w:pPr>
    </w:p>
    <w:p>
      <w:pPr>
        <w:spacing w:after="0"/>
        <w:jc w:val="center"/>
        <w:rPr>
          <w:rFonts w:ascii="Arial" w:hAnsi="Arial" w:cs="Arial"/>
          <w:b/>
          <w:sz w:val="24"/>
          <w:szCs w:val="24"/>
        </w:rPr>
      </w:pPr>
    </w:p>
    <w:p>
      <w:pPr>
        <w:tabs>
          <w:tab w:val="left" w:pos="1440"/>
        </w:tabs>
        <w:spacing w:after="0"/>
        <w:rPr>
          <w:rFonts w:ascii="Arial" w:hAnsi="Arial" w:cs="Arial"/>
          <w:b/>
          <w:sz w:val="24"/>
          <w:szCs w:val="24"/>
        </w:rPr>
      </w:pPr>
      <w:r>
        <w:rPr>
          <w:rFonts w:ascii="Arial" w:hAnsi="Arial" w:cs="Arial"/>
          <w:b/>
          <w:sz w:val="24"/>
          <w:szCs w:val="24"/>
        </w:rPr>
        <w:tab/>
      </w:r>
    </w:p>
    <w:p>
      <w:pPr>
        <w:spacing w:after="0" w:line="240" w:lineRule="auto"/>
        <w:rPr>
          <w:rFonts w:ascii="Arial" w:hAnsi="Arial" w:cs="Arial"/>
          <w:b/>
          <w:sz w:val="24"/>
          <w:szCs w:val="24"/>
        </w:rPr>
      </w:pPr>
      <w:r>
        <w:rPr>
          <w:rFonts w:ascii="Arial" w:hAnsi="Arial" w:cs="Arial"/>
          <w:b/>
          <w:sz w:val="24"/>
          <w:szCs w:val="24"/>
        </w:rPr>
        <w:br w:type="page"/>
      </w:r>
    </w:p>
    <w:p>
      <w:pPr>
        <w:pStyle w:val="28"/>
        <w:jc w:val="center"/>
        <w:rPr>
          <w:rFonts w:ascii="Arial" w:hAnsi="Arial" w:cs="Arial"/>
          <w:b/>
          <w:bCs/>
          <w:sz w:val="24"/>
          <w:szCs w:val="24"/>
        </w:rPr>
      </w:pPr>
      <w:r>
        <w:rPr>
          <w:rFonts w:ascii="Arial" w:hAnsi="Arial" w:cs="Arial"/>
          <w:b/>
          <w:bCs/>
          <w:sz w:val="24"/>
          <w:szCs w:val="24"/>
        </w:rPr>
        <w:t>LAPORAN REALISASI KINERJA</w:t>
      </w:r>
    </w:p>
    <w:p>
      <w:pPr>
        <w:spacing w:after="0"/>
        <w:jc w:val="center"/>
        <w:rPr>
          <w:rFonts w:ascii="Arial" w:hAnsi="Arial" w:cs="Arial"/>
          <w:b/>
          <w:sz w:val="24"/>
          <w:szCs w:val="24"/>
        </w:rPr>
      </w:pPr>
      <w:r>
        <w:rPr>
          <w:rFonts w:ascii="Arial" w:hAnsi="Arial" w:cs="Arial"/>
          <w:b/>
          <w:sz w:val="24"/>
          <w:szCs w:val="24"/>
        </w:rPr>
        <w:t xml:space="preserve">KEPALA SUBBAGIAN PERENCANAAN, KEUANGAN DAN ASET  </w:t>
      </w:r>
    </w:p>
    <w:p>
      <w:pPr>
        <w:spacing w:after="0"/>
        <w:jc w:val="center"/>
        <w:rPr>
          <w:rFonts w:ascii="Arial" w:hAnsi="Arial" w:cs="Arial"/>
          <w:b/>
          <w:sz w:val="24"/>
          <w:szCs w:val="24"/>
        </w:rPr>
      </w:pPr>
      <w:r>
        <w:rPr>
          <w:rFonts w:ascii="Arial" w:hAnsi="Arial" w:cs="Arial"/>
          <w:b/>
          <w:sz w:val="24"/>
          <w:szCs w:val="24"/>
        </w:rPr>
        <w:t xml:space="preserve">KECAMATAN ASTAMBUL KABUPATEN BANJAR </w:t>
      </w:r>
    </w:p>
    <w:p>
      <w:pPr>
        <w:spacing w:after="0" w:line="240" w:lineRule="auto"/>
        <w:ind w:left="567" w:right="992"/>
        <w:jc w:val="center"/>
        <w:rPr>
          <w:rFonts w:ascii="Arial" w:hAnsi="Arial" w:cs="Arial"/>
          <w:sz w:val="24"/>
          <w:szCs w:val="24"/>
        </w:rPr>
      </w:pPr>
      <w:r>
        <w:rPr>
          <w:rFonts w:ascii="Arial" w:hAnsi="Arial" w:cs="Arial"/>
          <w:b/>
          <w:sz w:val="24"/>
          <w:szCs w:val="24"/>
        </w:rPr>
        <w:t>TRIWULAN  l TAHUN 2023</w:t>
      </w:r>
    </w:p>
    <w:p>
      <w:pPr>
        <w:spacing w:after="0" w:line="240" w:lineRule="auto"/>
        <w:ind w:left="567" w:right="992"/>
        <w:rPr>
          <w:rFonts w:ascii="Arial" w:hAnsi="Arial" w:cs="Arial"/>
          <w:sz w:val="24"/>
          <w:szCs w:val="24"/>
        </w:rPr>
      </w:pPr>
    </w:p>
    <w:tbl>
      <w:tblPr>
        <w:tblStyle w:val="12"/>
        <w:tblW w:w="1022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
        <w:gridCol w:w="1298"/>
        <w:gridCol w:w="1276"/>
        <w:gridCol w:w="709"/>
        <w:gridCol w:w="992"/>
        <w:gridCol w:w="992"/>
        <w:gridCol w:w="720"/>
        <w:gridCol w:w="720"/>
        <w:gridCol w:w="720"/>
        <w:gridCol w:w="720"/>
        <w:gridCol w:w="664"/>
        <w:gridCol w:w="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516" w:type="dxa"/>
            <w:vMerge w:val="restart"/>
            <w:shd w:val="clear" w:color="auto" w:fill="92D050"/>
            <w:vAlign w:val="center"/>
          </w:tcPr>
          <w:p>
            <w:pPr>
              <w:jc w:val="center"/>
              <w:rPr>
                <w:rFonts w:ascii="Arial" w:hAnsi="Arial" w:cs="Arial"/>
                <w:b/>
              </w:rPr>
            </w:pPr>
            <w:r>
              <w:rPr>
                <w:rFonts w:ascii="Arial" w:hAnsi="Arial" w:cs="Arial"/>
                <w:b/>
              </w:rPr>
              <w:t>NO</w:t>
            </w:r>
          </w:p>
        </w:tc>
        <w:tc>
          <w:tcPr>
            <w:tcW w:w="1298" w:type="dxa"/>
            <w:vMerge w:val="restart"/>
            <w:shd w:val="clear" w:color="auto" w:fill="92D050"/>
            <w:vAlign w:val="center"/>
          </w:tcPr>
          <w:p>
            <w:pPr>
              <w:jc w:val="center"/>
              <w:rPr>
                <w:rFonts w:ascii="Arial" w:hAnsi="Arial" w:cs="Arial"/>
                <w:b/>
              </w:rPr>
            </w:pPr>
            <w:r>
              <w:rPr>
                <w:rFonts w:ascii="Arial" w:hAnsi="Arial" w:cs="Arial"/>
                <w:b/>
                <w:sz w:val="18"/>
              </w:rPr>
              <w:t>TUJUAN/ SASARAN/ PROGRAM/ KEGIATAN/ SUBKEGIATAN</w:t>
            </w:r>
          </w:p>
        </w:tc>
        <w:tc>
          <w:tcPr>
            <w:tcW w:w="1276" w:type="dxa"/>
            <w:vMerge w:val="restart"/>
            <w:shd w:val="clear" w:color="auto" w:fill="92D050"/>
            <w:vAlign w:val="center"/>
          </w:tcPr>
          <w:p>
            <w:pPr>
              <w:jc w:val="center"/>
              <w:rPr>
                <w:rFonts w:ascii="Arial" w:hAnsi="Arial" w:cs="Arial"/>
                <w:b/>
              </w:rPr>
            </w:pPr>
            <w:r>
              <w:rPr>
                <w:rFonts w:ascii="Arial" w:hAnsi="Arial" w:cs="Arial"/>
                <w:b/>
                <w:sz w:val="18"/>
              </w:rPr>
              <w:t>SASARAN/ KINERJA PROGRAM/ KEGIATAN/ SUBKEGIATAN</w:t>
            </w:r>
          </w:p>
        </w:tc>
        <w:tc>
          <w:tcPr>
            <w:tcW w:w="709" w:type="dxa"/>
            <w:vMerge w:val="restart"/>
            <w:shd w:val="clear" w:color="auto" w:fill="92D050"/>
            <w:vAlign w:val="center"/>
          </w:tcPr>
          <w:p>
            <w:pPr>
              <w:jc w:val="center"/>
              <w:rPr>
                <w:rFonts w:ascii="Arial" w:hAnsi="Arial" w:cs="Arial"/>
                <w:b/>
              </w:rPr>
            </w:pPr>
            <w:r>
              <w:rPr>
                <w:rFonts w:ascii="Arial" w:hAnsi="Arial" w:cs="Arial"/>
                <w:b/>
                <w:sz w:val="14"/>
              </w:rPr>
              <w:t>TARGET</w:t>
            </w:r>
          </w:p>
        </w:tc>
        <w:tc>
          <w:tcPr>
            <w:tcW w:w="992" w:type="dxa"/>
            <w:vMerge w:val="restart"/>
            <w:shd w:val="clear" w:color="auto" w:fill="92D050"/>
            <w:vAlign w:val="center"/>
          </w:tcPr>
          <w:p>
            <w:pPr>
              <w:jc w:val="center"/>
              <w:rPr>
                <w:rFonts w:ascii="Arial" w:hAnsi="Arial" w:cs="Arial"/>
                <w:b/>
              </w:rPr>
            </w:pPr>
            <w:r>
              <w:rPr>
                <w:rFonts w:ascii="Arial" w:hAnsi="Arial" w:cs="Arial"/>
                <w:b/>
              </w:rPr>
              <w:t>PAGU ANGGARAN</w:t>
            </w:r>
          </w:p>
        </w:tc>
        <w:tc>
          <w:tcPr>
            <w:tcW w:w="992" w:type="dxa"/>
            <w:vMerge w:val="restart"/>
            <w:shd w:val="clear" w:color="auto" w:fill="92D050"/>
            <w:vAlign w:val="center"/>
          </w:tcPr>
          <w:p>
            <w:pPr>
              <w:jc w:val="center"/>
              <w:rPr>
                <w:rFonts w:ascii="Arial" w:hAnsi="Arial" w:cs="Arial"/>
                <w:b/>
              </w:rPr>
            </w:pPr>
            <w:r>
              <w:rPr>
                <w:rFonts w:ascii="Arial" w:hAnsi="Arial" w:cs="Arial"/>
                <w:b/>
              </w:rPr>
              <w:t>SISA ANGGARAN</w:t>
            </w:r>
          </w:p>
        </w:tc>
        <w:tc>
          <w:tcPr>
            <w:tcW w:w="2880" w:type="dxa"/>
            <w:gridSpan w:val="4"/>
            <w:shd w:val="clear" w:color="auto" w:fill="92D050"/>
            <w:vAlign w:val="center"/>
          </w:tcPr>
          <w:p>
            <w:pPr>
              <w:jc w:val="center"/>
              <w:rPr>
                <w:rFonts w:ascii="Arial" w:hAnsi="Arial" w:cs="Arial"/>
                <w:b/>
              </w:rPr>
            </w:pPr>
            <w:r>
              <w:rPr>
                <w:rFonts w:ascii="Arial" w:hAnsi="Arial" w:cs="Arial"/>
                <w:b/>
              </w:rPr>
              <w:t>TARGET</w:t>
            </w:r>
          </w:p>
        </w:tc>
        <w:tc>
          <w:tcPr>
            <w:tcW w:w="664" w:type="dxa"/>
            <w:vMerge w:val="restart"/>
            <w:shd w:val="clear" w:color="auto" w:fill="92D050"/>
            <w:vAlign w:val="center"/>
          </w:tcPr>
          <w:p>
            <w:pPr>
              <w:jc w:val="center"/>
              <w:rPr>
                <w:rFonts w:ascii="Arial" w:hAnsi="Arial" w:cs="Arial"/>
                <w:b/>
              </w:rPr>
            </w:pPr>
            <w:r>
              <w:rPr>
                <w:rFonts w:ascii="Arial" w:hAnsi="Arial" w:cs="Arial"/>
                <w:b/>
              </w:rPr>
              <w:t>REALISASI</w:t>
            </w:r>
          </w:p>
        </w:tc>
        <w:tc>
          <w:tcPr>
            <w:tcW w:w="898" w:type="dxa"/>
            <w:vMerge w:val="restart"/>
            <w:shd w:val="clear" w:color="auto" w:fill="92D050"/>
            <w:vAlign w:val="center"/>
          </w:tcPr>
          <w:p>
            <w:pPr>
              <w:jc w:val="center"/>
              <w:rPr>
                <w:rFonts w:ascii="Arial" w:hAnsi="Arial" w:cs="Arial"/>
                <w:b/>
              </w:rPr>
            </w:pPr>
            <w:r>
              <w:rPr>
                <w:rFonts w:ascii="Arial" w:hAnsi="Arial" w:cs="Arial"/>
                <w:b/>
              </w:rPr>
              <w:t>CAPAIAN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16" w:type="dxa"/>
            <w:vMerge w:val="continue"/>
            <w:shd w:val="clear" w:color="auto" w:fill="92D050"/>
            <w:vAlign w:val="center"/>
          </w:tcPr>
          <w:p>
            <w:pPr>
              <w:jc w:val="center"/>
              <w:rPr>
                <w:rFonts w:ascii="Arial" w:hAnsi="Arial" w:cs="Arial"/>
                <w:b/>
              </w:rPr>
            </w:pPr>
          </w:p>
        </w:tc>
        <w:tc>
          <w:tcPr>
            <w:tcW w:w="1298" w:type="dxa"/>
            <w:vMerge w:val="continue"/>
            <w:shd w:val="clear" w:color="auto" w:fill="92D050"/>
            <w:vAlign w:val="center"/>
          </w:tcPr>
          <w:p>
            <w:pPr>
              <w:jc w:val="center"/>
              <w:rPr>
                <w:rFonts w:ascii="Arial" w:hAnsi="Arial" w:cs="Arial"/>
                <w:b/>
              </w:rPr>
            </w:pPr>
          </w:p>
        </w:tc>
        <w:tc>
          <w:tcPr>
            <w:tcW w:w="1276" w:type="dxa"/>
            <w:vMerge w:val="continue"/>
            <w:shd w:val="clear" w:color="auto" w:fill="92D050"/>
            <w:vAlign w:val="center"/>
          </w:tcPr>
          <w:p>
            <w:pPr>
              <w:jc w:val="center"/>
              <w:rPr>
                <w:rFonts w:ascii="Arial" w:hAnsi="Arial" w:cs="Arial"/>
                <w:b/>
              </w:rPr>
            </w:pPr>
          </w:p>
        </w:tc>
        <w:tc>
          <w:tcPr>
            <w:tcW w:w="709" w:type="dxa"/>
            <w:vMerge w:val="continue"/>
            <w:shd w:val="clear" w:color="auto" w:fill="92D050"/>
            <w:vAlign w:val="center"/>
          </w:tcPr>
          <w:p>
            <w:pPr>
              <w:jc w:val="center"/>
              <w:rPr>
                <w:rFonts w:ascii="Arial" w:hAnsi="Arial" w:cs="Arial"/>
                <w:b/>
              </w:rPr>
            </w:pPr>
          </w:p>
        </w:tc>
        <w:tc>
          <w:tcPr>
            <w:tcW w:w="992" w:type="dxa"/>
            <w:vMerge w:val="continue"/>
            <w:shd w:val="clear" w:color="auto" w:fill="92D050"/>
          </w:tcPr>
          <w:p>
            <w:pPr>
              <w:jc w:val="center"/>
              <w:rPr>
                <w:rFonts w:ascii="Arial" w:hAnsi="Arial" w:cs="Arial"/>
                <w:b/>
              </w:rPr>
            </w:pPr>
          </w:p>
        </w:tc>
        <w:tc>
          <w:tcPr>
            <w:tcW w:w="992" w:type="dxa"/>
            <w:vMerge w:val="continue"/>
            <w:shd w:val="clear" w:color="auto" w:fill="92D050"/>
          </w:tcPr>
          <w:p>
            <w:pPr>
              <w:jc w:val="center"/>
              <w:rPr>
                <w:rFonts w:ascii="Arial" w:hAnsi="Arial" w:cs="Arial"/>
                <w:b/>
              </w:rPr>
            </w:pPr>
          </w:p>
        </w:tc>
        <w:tc>
          <w:tcPr>
            <w:tcW w:w="720" w:type="dxa"/>
            <w:shd w:val="clear" w:color="auto" w:fill="92D050"/>
            <w:vAlign w:val="center"/>
          </w:tcPr>
          <w:p>
            <w:pPr>
              <w:jc w:val="center"/>
              <w:rPr>
                <w:rFonts w:ascii="Arial" w:hAnsi="Arial" w:cs="Arial"/>
                <w:b/>
              </w:rPr>
            </w:pPr>
            <w:r>
              <w:rPr>
                <w:rFonts w:ascii="Arial" w:hAnsi="Arial" w:cs="Arial"/>
                <w:b/>
              </w:rPr>
              <w:t>TW 1</w:t>
            </w:r>
          </w:p>
        </w:tc>
        <w:tc>
          <w:tcPr>
            <w:tcW w:w="720" w:type="dxa"/>
            <w:shd w:val="clear" w:color="auto" w:fill="92D050"/>
            <w:vAlign w:val="center"/>
          </w:tcPr>
          <w:p>
            <w:pPr>
              <w:jc w:val="center"/>
              <w:rPr>
                <w:rFonts w:ascii="Arial" w:hAnsi="Arial" w:cs="Arial"/>
                <w:b/>
              </w:rPr>
            </w:pPr>
            <w:r>
              <w:rPr>
                <w:rFonts w:ascii="Arial" w:hAnsi="Arial" w:cs="Arial"/>
                <w:b/>
              </w:rPr>
              <w:t>TW 2</w:t>
            </w:r>
          </w:p>
        </w:tc>
        <w:tc>
          <w:tcPr>
            <w:tcW w:w="720" w:type="dxa"/>
            <w:shd w:val="clear" w:color="auto" w:fill="92D050"/>
            <w:vAlign w:val="center"/>
          </w:tcPr>
          <w:p>
            <w:pPr>
              <w:jc w:val="center"/>
              <w:rPr>
                <w:rFonts w:ascii="Arial" w:hAnsi="Arial" w:cs="Arial"/>
                <w:b/>
              </w:rPr>
            </w:pPr>
            <w:r>
              <w:rPr>
                <w:rFonts w:ascii="Arial" w:hAnsi="Arial" w:cs="Arial"/>
                <w:b/>
              </w:rPr>
              <w:t>TW 3</w:t>
            </w:r>
          </w:p>
        </w:tc>
        <w:tc>
          <w:tcPr>
            <w:tcW w:w="720" w:type="dxa"/>
            <w:shd w:val="clear" w:color="auto" w:fill="92D050"/>
            <w:vAlign w:val="center"/>
          </w:tcPr>
          <w:p>
            <w:pPr>
              <w:jc w:val="center"/>
              <w:rPr>
                <w:rFonts w:ascii="Arial" w:hAnsi="Arial" w:cs="Arial"/>
                <w:b/>
              </w:rPr>
            </w:pPr>
            <w:r>
              <w:rPr>
                <w:rFonts w:ascii="Arial" w:hAnsi="Arial" w:cs="Arial"/>
                <w:b/>
              </w:rPr>
              <w:t>TW 4</w:t>
            </w:r>
          </w:p>
        </w:tc>
        <w:tc>
          <w:tcPr>
            <w:tcW w:w="664" w:type="dxa"/>
            <w:vMerge w:val="continue"/>
            <w:shd w:val="clear" w:color="auto" w:fill="92D050"/>
          </w:tcPr>
          <w:p>
            <w:pPr>
              <w:jc w:val="center"/>
              <w:rPr>
                <w:rFonts w:ascii="Arial" w:hAnsi="Arial" w:cs="Arial"/>
                <w:b/>
              </w:rPr>
            </w:pPr>
          </w:p>
        </w:tc>
        <w:tc>
          <w:tcPr>
            <w:tcW w:w="898" w:type="dxa"/>
            <w:vMerge w:val="continue"/>
            <w:shd w:val="clear" w:color="auto" w:fill="92D050"/>
            <w:vAlign w:val="center"/>
          </w:tcPr>
          <w:p>
            <w:pPr>
              <w:jc w:val="center"/>
              <w:rPr>
                <w:rFonts w:ascii="Arial" w:hAnsi="Arial" w:cs="Arial"/>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 w:type="dxa"/>
          </w:tcPr>
          <w:p>
            <w:pPr>
              <w:jc w:val="center"/>
              <w:rPr>
                <w:rFonts w:ascii="Arial" w:hAnsi="Arial" w:cs="Arial"/>
                <w:sz w:val="18"/>
                <w:szCs w:val="18"/>
              </w:rPr>
            </w:pPr>
            <w:r>
              <w:rPr>
                <w:rFonts w:ascii="Arial" w:hAnsi="Arial" w:cs="Arial"/>
                <w:sz w:val="18"/>
                <w:szCs w:val="18"/>
              </w:rPr>
              <w:t>1</w:t>
            </w:r>
          </w:p>
        </w:tc>
        <w:tc>
          <w:tcPr>
            <w:tcW w:w="1298" w:type="dxa"/>
          </w:tcPr>
          <w:p>
            <w:pPr>
              <w:jc w:val="center"/>
              <w:rPr>
                <w:rFonts w:ascii="Arial" w:hAnsi="Arial" w:cs="Arial"/>
                <w:sz w:val="18"/>
                <w:szCs w:val="18"/>
              </w:rPr>
            </w:pPr>
            <w:r>
              <w:rPr>
                <w:rFonts w:ascii="Arial" w:hAnsi="Arial" w:cs="Arial"/>
                <w:sz w:val="18"/>
                <w:szCs w:val="18"/>
              </w:rPr>
              <w:t>2</w:t>
            </w:r>
          </w:p>
        </w:tc>
        <w:tc>
          <w:tcPr>
            <w:tcW w:w="1276" w:type="dxa"/>
          </w:tcPr>
          <w:p>
            <w:pPr>
              <w:jc w:val="center"/>
              <w:rPr>
                <w:rFonts w:ascii="Arial" w:hAnsi="Arial" w:cs="Arial"/>
                <w:sz w:val="18"/>
                <w:szCs w:val="18"/>
              </w:rPr>
            </w:pPr>
            <w:r>
              <w:rPr>
                <w:rFonts w:ascii="Arial" w:hAnsi="Arial" w:cs="Arial"/>
                <w:sz w:val="18"/>
                <w:szCs w:val="18"/>
              </w:rPr>
              <w:t>3</w:t>
            </w:r>
          </w:p>
        </w:tc>
        <w:tc>
          <w:tcPr>
            <w:tcW w:w="709" w:type="dxa"/>
          </w:tcPr>
          <w:p>
            <w:pPr>
              <w:jc w:val="center"/>
              <w:rPr>
                <w:rFonts w:ascii="Arial" w:hAnsi="Arial" w:cs="Arial"/>
                <w:sz w:val="18"/>
                <w:szCs w:val="18"/>
              </w:rPr>
            </w:pPr>
            <w:r>
              <w:rPr>
                <w:rFonts w:ascii="Arial" w:hAnsi="Arial" w:cs="Arial"/>
                <w:sz w:val="18"/>
                <w:szCs w:val="18"/>
              </w:rPr>
              <w:t>4</w:t>
            </w:r>
          </w:p>
        </w:tc>
        <w:tc>
          <w:tcPr>
            <w:tcW w:w="992" w:type="dxa"/>
          </w:tcPr>
          <w:p>
            <w:pPr>
              <w:jc w:val="center"/>
              <w:rPr>
                <w:rFonts w:ascii="Arial" w:hAnsi="Arial" w:cs="Arial"/>
                <w:sz w:val="18"/>
                <w:szCs w:val="18"/>
              </w:rPr>
            </w:pPr>
            <w:r>
              <w:rPr>
                <w:rFonts w:ascii="Arial" w:hAnsi="Arial" w:cs="Arial"/>
                <w:sz w:val="18"/>
                <w:szCs w:val="18"/>
              </w:rPr>
              <w:t>5</w:t>
            </w:r>
          </w:p>
        </w:tc>
        <w:tc>
          <w:tcPr>
            <w:tcW w:w="992" w:type="dxa"/>
          </w:tcPr>
          <w:p>
            <w:pPr>
              <w:jc w:val="center"/>
              <w:rPr>
                <w:rFonts w:ascii="Arial" w:hAnsi="Arial" w:cs="Arial"/>
                <w:sz w:val="18"/>
                <w:szCs w:val="18"/>
              </w:rPr>
            </w:pPr>
            <w:r>
              <w:rPr>
                <w:rFonts w:ascii="Arial" w:hAnsi="Arial" w:cs="Arial"/>
                <w:sz w:val="18"/>
                <w:szCs w:val="18"/>
              </w:rPr>
              <w:t>6</w:t>
            </w:r>
          </w:p>
        </w:tc>
        <w:tc>
          <w:tcPr>
            <w:tcW w:w="720" w:type="dxa"/>
          </w:tcPr>
          <w:p>
            <w:pPr>
              <w:jc w:val="center"/>
              <w:rPr>
                <w:rFonts w:ascii="Arial" w:hAnsi="Arial" w:cs="Arial"/>
                <w:sz w:val="18"/>
                <w:szCs w:val="18"/>
              </w:rPr>
            </w:pPr>
            <w:r>
              <w:rPr>
                <w:rFonts w:ascii="Arial" w:hAnsi="Arial" w:cs="Arial"/>
                <w:sz w:val="18"/>
                <w:szCs w:val="18"/>
              </w:rPr>
              <w:t>7</w:t>
            </w:r>
          </w:p>
        </w:tc>
        <w:tc>
          <w:tcPr>
            <w:tcW w:w="720" w:type="dxa"/>
          </w:tcPr>
          <w:p>
            <w:pPr>
              <w:rPr>
                <w:rFonts w:ascii="Arial" w:hAnsi="Arial" w:cs="Arial"/>
                <w:sz w:val="18"/>
                <w:szCs w:val="18"/>
              </w:rPr>
            </w:pPr>
            <w:r>
              <w:rPr>
                <w:rFonts w:ascii="Arial" w:hAnsi="Arial" w:cs="Arial"/>
                <w:sz w:val="18"/>
                <w:szCs w:val="18"/>
              </w:rPr>
              <w:t>8</w:t>
            </w:r>
          </w:p>
        </w:tc>
        <w:tc>
          <w:tcPr>
            <w:tcW w:w="720" w:type="dxa"/>
          </w:tcPr>
          <w:p>
            <w:pPr>
              <w:jc w:val="center"/>
              <w:rPr>
                <w:rFonts w:ascii="Arial" w:hAnsi="Arial" w:cs="Arial"/>
                <w:sz w:val="18"/>
                <w:szCs w:val="18"/>
              </w:rPr>
            </w:pPr>
            <w:r>
              <w:rPr>
                <w:rFonts w:ascii="Arial" w:hAnsi="Arial" w:cs="Arial"/>
                <w:sz w:val="18"/>
                <w:szCs w:val="18"/>
              </w:rPr>
              <w:t>9</w:t>
            </w:r>
          </w:p>
        </w:tc>
        <w:tc>
          <w:tcPr>
            <w:tcW w:w="720" w:type="dxa"/>
          </w:tcPr>
          <w:p>
            <w:pPr>
              <w:jc w:val="center"/>
              <w:rPr>
                <w:rFonts w:ascii="Arial" w:hAnsi="Arial" w:cs="Arial"/>
                <w:sz w:val="18"/>
                <w:szCs w:val="18"/>
              </w:rPr>
            </w:pPr>
            <w:r>
              <w:rPr>
                <w:rFonts w:ascii="Arial" w:hAnsi="Arial" w:cs="Arial"/>
                <w:sz w:val="18"/>
                <w:szCs w:val="18"/>
              </w:rPr>
              <w:t>10</w:t>
            </w:r>
          </w:p>
        </w:tc>
        <w:tc>
          <w:tcPr>
            <w:tcW w:w="664" w:type="dxa"/>
          </w:tcPr>
          <w:p>
            <w:pPr>
              <w:jc w:val="center"/>
              <w:rPr>
                <w:rFonts w:ascii="Arial" w:hAnsi="Arial" w:cs="Arial"/>
                <w:sz w:val="18"/>
                <w:szCs w:val="18"/>
              </w:rPr>
            </w:pPr>
            <w:r>
              <w:rPr>
                <w:rFonts w:ascii="Arial" w:hAnsi="Arial" w:cs="Arial"/>
                <w:sz w:val="18"/>
                <w:szCs w:val="18"/>
              </w:rPr>
              <w:t>11</w:t>
            </w:r>
          </w:p>
        </w:tc>
        <w:tc>
          <w:tcPr>
            <w:tcW w:w="898" w:type="dxa"/>
          </w:tcPr>
          <w:p>
            <w:pPr>
              <w:jc w:val="center"/>
              <w:rPr>
                <w:rFonts w:ascii="Arial" w:hAnsi="Arial" w:cs="Arial"/>
                <w:sz w:val="18"/>
                <w:szCs w:val="18"/>
              </w:rPr>
            </w:pPr>
            <w:r>
              <w:rPr>
                <w:rFonts w:ascii="Arial" w:hAnsi="Arial" w:cs="Arial"/>
                <w:sz w:val="18"/>
                <w:szCs w:val="18"/>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 w:type="dxa"/>
          </w:tcPr>
          <w:p>
            <w:pPr>
              <w:rPr>
                <w:rFonts w:ascii="Arial Narrow" w:hAnsi="Arial Narrow" w:cs="Arial"/>
              </w:rPr>
            </w:pPr>
            <w:r>
              <w:rPr>
                <w:rFonts w:ascii="Arial Narrow" w:hAnsi="Arial Narrow" w:cs="Arial"/>
              </w:rPr>
              <w:t>1</w:t>
            </w:r>
          </w:p>
        </w:tc>
        <w:tc>
          <w:tcPr>
            <w:tcW w:w="1298" w:type="dxa"/>
          </w:tcPr>
          <w:p>
            <w:pPr>
              <w:rPr>
                <w:rFonts w:ascii="Arial Narrow" w:hAnsi="Arial Narrow" w:cs="Arial"/>
              </w:rPr>
            </w:pPr>
            <w:r>
              <w:rPr>
                <w:rFonts w:ascii="Arial" w:hAnsi="Arial" w:cs="Arial"/>
              </w:rPr>
              <w:t>Administrasi Keuangan Perangkat Daera</w:t>
            </w:r>
          </w:p>
        </w:tc>
        <w:tc>
          <w:tcPr>
            <w:tcW w:w="1276" w:type="dxa"/>
            <w:vAlign w:val="center"/>
          </w:tcPr>
          <w:p>
            <w:pPr>
              <w:jc w:val="center"/>
              <w:rPr>
                <w:rFonts w:ascii="Arial Narrow" w:hAnsi="Arial Narrow" w:cs="Arial"/>
              </w:rPr>
            </w:pPr>
            <w:r>
              <w:rPr>
                <w:rFonts w:ascii="Arial" w:hAnsi="Arial" w:cs="Arial"/>
              </w:rPr>
              <w:t>Penyediaan Gaji dan Tunjangan ASN</w:t>
            </w:r>
          </w:p>
        </w:tc>
        <w:tc>
          <w:tcPr>
            <w:tcW w:w="709" w:type="dxa"/>
          </w:tcPr>
          <w:p>
            <w:pPr>
              <w:jc w:val="center"/>
              <w:rPr>
                <w:rFonts w:ascii="Arial Narrow" w:hAnsi="Arial Narrow" w:cs="Calibri"/>
              </w:rPr>
            </w:pPr>
            <w:r>
              <w:rPr>
                <w:rFonts w:ascii="Arial" w:hAnsi="Arial" w:cs="Arial"/>
                <w:color w:val="000000"/>
                <w:sz w:val="18"/>
                <w:szCs w:val="18"/>
              </w:rPr>
              <w:t>Orang/Bulan</w:t>
            </w:r>
          </w:p>
        </w:tc>
        <w:tc>
          <w:tcPr>
            <w:tcW w:w="992" w:type="dxa"/>
          </w:tcPr>
          <w:p>
            <w:pPr>
              <w:jc w:val="center"/>
              <w:rPr>
                <w:rFonts w:ascii="Arial Narrow" w:hAnsi="Arial Narrow" w:cs="Calibri"/>
              </w:rPr>
            </w:pPr>
            <w:r>
              <w:t>1.848.770.851</w:t>
            </w:r>
          </w:p>
        </w:tc>
        <w:tc>
          <w:tcPr>
            <w:tcW w:w="992" w:type="dxa"/>
            <w:vAlign w:val="center"/>
          </w:tcPr>
          <w:p>
            <w:pPr>
              <w:jc w:val="center"/>
              <w:rPr>
                <w:rFonts w:ascii="Century Gothic" w:hAnsi="Century Gothic" w:cs="Arial"/>
                <w:color w:val="000000"/>
                <w:sz w:val="18"/>
                <w:szCs w:val="18"/>
              </w:rPr>
            </w:pPr>
            <w:r>
              <w:rPr>
                <w:rFonts w:ascii="Century Gothic" w:hAnsi="Century Gothic" w:cs="Arial"/>
                <w:color w:val="000000"/>
                <w:sz w:val="18"/>
                <w:szCs w:val="18"/>
              </w:rPr>
              <w:t>1.544.841.702</w:t>
            </w:r>
          </w:p>
          <w:p>
            <w:pPr>
              <w:jc w:val="center"/>
              <w:rPr>
                <w:rFonts w:ascii="Arial Narrow" w:hAnsi="Arial Narrow" w:cs="Calibri"/>
              </w:rPr>
            </w:pPr>
          </w:p>
        </w:tc>
        <w:tc>
          <w:tcPr>
            <w:tcW w:w="720" w:type="dxa"/>
          </w:tcPr>
          <w:p>
            <w:pPr>
              <w:jc w:val="center"/>
              <w:rPr>
                <w:rFonts w:ascii="Arial Narrow" w:hAnsi="Arial Narrow" w:cs="Calibri"/>
              </w:rPr>
            </w:pPr>
            <w:r>
              <w:rPr>
                <w:rFonts w:ascii="Arial" w:hAnsi="Arial" w:cs="Arial"/>
                <w:color w:val="000000"/>
                <w:sz w:val="18"/>
                <w:szCs w:val="18"/>
              </w:rPr>
              <w:t>303.929.149</w:t>
            </w:r>
          </w:p>
        </w:tc>
        <w:tc>
          <w:tcPr>
            <w:tcW w:w="720" w:type="dxa"/>
          </w:tcPr>
          <w:p>
            <w:pPr>
              <w:jc w:val="center"/>
              <w:rPr>
                <w:rFonts w:ascii="Arial Narrow" w:hAnsi="Arial Narrow" w:cs="Arial"/>
              </w:rPr>
            </w:pPr>
            <w:r>
              <w:rPr>
                <w:rFonts w:ascii="Arial Narrow" w:hAnsi="Arial Narrow" w:cs="Arial"/>
              </w:rPr>
              <w:t>0</w:t>
            </w:r>
          </w:p>
        </w:tc>
        <w:tc>
          <w:tcPr>
            <w:tcW w:w="720" w:type="dxa"/>
          </w:tcPr>
          <w:p>
            <w:pPr>
              <w:jc w:val="center"/>
              <w:rPr>
                <w:rFonts w:ascii="Arial Narrow" w:hAnsi="Arial Narrow" w:cs="Arial"/>
              </w:rPr>
            </w:pPr>
          </w:p>
        </w:tc>
        <w:tc>
          <w:tcPr>
            <w:tcW w:w="720" w:type="dxa"/>
          </w:tcPr>
          <w:p>
            <w:pPr>
              <w:jc w:val="center"/>
              <w:rPr>
                <w:rFonts w:ascii="Arial Narrow" w:hAnsi="Arial Narrow" w:cs="Calibri"/>
              </w:rPr>
            </w:pPr>
            <w:r>
              <w:rPr>
                <w:rFonts w:ascii="Arial Narrow" w:hAnsi="Arial Narrow" w:cs="Calibri"/>
              </w:rPr>
              <w:t>0</w:t>
            </w:r>
          </w:p>
        </w:tc>
        <w:tc>
          <w:tcPr>
            <w:tcW w:w="664" w:type="dxa"/>
          </w:tcPr>
          <w:p>
            <w:pPr>
              <w:jc w:val="center"/>
              <w:rPr>
                <w:rFonts w:ascii="Arial Narrow" w:hAnsi="Arial Narrow" w:cs="Arial"/>
              </w:rPr>
            </w:pPr>
            <w:r>
              <w:rPr>
                <w:rFonts w:ascii="Arial Narrow" w:hAnsi="Arial Narrow" w:cs="Arial"/>
              </w:rPr>
              <w:t>3</w:t>
            </w:r>
          </w:p>
        </w:tc>
        <w:tc>
          <w:tcPr>
            <w:tcW w:w="898" w:type="dxa"/>
          </w:tcPr>
          <w:p>
            <w:pPr>
              <w:jc w:val="center"/>
              <w:rPr>
                <w:rFonts w:ascii="Arial Narrow" w:hAnsi="Arial Narrow" w:cs="Arial"/>
              </w:rPr>
            </w:pPr>
            <w:r>
              <w:rPr>
                <w:rFonts w:ascii="Arial Narrow" w:hAnsi="Arial Narrow" w:cs="Arial"/>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 w:type="dxa"/>
          </w:tcPr>
          <w:p>
            <w:pPr>
              <w:rPr>
                <w:rFonts w:ascii="Arial Narrow" w:hAnsi="Arial Narrow" w:cs="Arial"/>
              </w:rPr>
            </w:pPr>
          </w:p>
        </w:tc>
        <w:tc>
          <w:tcPr>
            <w:tcW w:w="1298" w:type="dxa"/>
          </w:tcPr>
          <w:p>
            <w:pPr>
              <w:rPr>
                <w:rFonts w:ascii="Arial Narrow" w:hAnsi="Arial Narrow" w:cs="Arial"/>
              </w:rPr>
            </w:pPr>
          </w:p>
        </w:tc>
        <w:tc>
          <w:tcPr>
            <w:tcW w:w="1276" w:type="dxa"/>
            <w:vAlign w:val="center"/>
          </w:tcPr>
          <w:p>
            <w:pPr>
              <w:jc w:val="center"/>
              <w:rPr>
                <w:rFonts w:ascii="Arial Narrow" w:hAnsi="Arial Narrow" w:cs="Arial"/>
              </w:rPr>
            </w:pPr>
            <w:r>
              <w:rPr>
                <w:rFonts w:ascii="Arial Narrow" w:hAnsi="Arial Narrow" w:cs="Arial"/>
              </w:rPr>
              <w:t>Pelaksanaan Penatausahaan dan Pengujian/Verifikasi Keuangan SKPD</w:t>
            </w:r>
          </w:p>
        </w:tc>
        <w:tc>
          <w:tcPr>
            <w:tcW w:w="709" w:type="dxa"/>
          </w:tcPr>
          <w:p>
            <w:pPr>
              <w:jc w:val="center"/>
              <w:rPr>
                <w:rFonts w:ascii="Arial Narrow" w:hAnsi="Arial Narrow" w:cs="Calibri"/>
                <w:sz w:val="18"/>
              </w:rPr>
            </w:pPr>
            <w:r>
              <w:rPr>
                <w:rFonts w:ascii="Arial" w:hAnsi="Arial" w:cs="Arial"/>
                <w:color w:val="000000"/>
                <w:sz w:val="18"/>
                <w:szCs w:val="18"/>
              </w:rPr>
              <w:t>Dokumen</w:t>
            </w:r>
          </w:p>
        </w:tc>
        <w:tc>
          <w:tcPr>
            <w:tcW w:w="992" w:type="dxa"/>
          </w:tcPr>
          <w:p>
            <w:pPr>
              <w:jc w:val="center"/>
              <w:rPr>
                <w:rFonts w:ascii="Arial Narrow" w:hAnsi="Arial Narrow" w:cs="Calibri"/>
              </w:rPr>
            </w:pPr>
            <w:r>
              <w:t>41.640.000</w:t>
            </w:r>
          </w:p>
        </w:tc>
        <w:tc>
          <w:tcPr>
            <w:tcW w:w="992" w:type="dxa"/>
            <w:vAlign w:val="center"/>
          </w:tcPr>
          <w:p>
            <w:pPr>
              <w:jc w:val="center"/>
              <w:rPr>
                <w:rFonts w:ascii="Arial Narrow" w:hAnsi="Arial Narrow" w:cs="Calibri"/>
              </w:rPr>
            </w:pPr>
            <w:r>
              <w:rPr>
                <w:rFonts w:ascii="Tahoma" w:hAnsi="Tahoma" w:cs="Tahoma" w:eastAsiaTheme="minorHAnsi"/>
                <w:sz w:val="16"/>
                <w:szCs w:val="12"/>
              </w:rPr>
              <w:t>31.830.000</w:t>
            </w:r>
          </w:p>
        </w:tc>
        <w:tc>
          <w:tcPr>
            <w:tcW w:w="720" w:type="dxa"/>
          </w:tcPr>
          <w:p>
            <w:pPr>
              <w:jc w:val="center"/>
              <w:rPr>
                <w:rFonts w:ascii="Arial Narrow" w:hAnsi="Arial Narrow" w:cs="Calibri"/>
              </w:rPr>
            </w:pPr>
            <w:r>
              <w:rPr>
                <w:rFonts w:ascii="Arial" w:hAnsi="Arial" w:cs="Arial"/>
                <w:color w:val="000000"/>
                <w:sz w:val="18"/>
                <w:szCs w:val="18"/>
              </w:rPr>
              <w:t>9.810.000</w:t>
            </w:r>
          </w:p>
        </w:tc>
        <w:tc>
          <w:tcPr>
            <w:tcW w:w="720" w:type="dxa"/>
          </w:tcPr>
          <w:p>
            <w:pPr>
              <w:jc w:val="center"/>
              <w:rPr>
                <w:rFonts w:ascii="Arial Narrow" w:hAnsi="Arial Narrow" w:cs="Arial"/>
              </w:rPr>
            </w:pPr>
          </w:p>
        </w:tc>
        <w:tc>
          <w:tcPr>
            <w:tcW w:w="720" w:type="dxa"/>
          </w:tcPr>
          <w:p>
            <w:pPr>
              <w:jc w:val="center"/>
              <w:rPr>
                <w:rFonts w:ascii="Arial Narrow" w:hAnsi="Arial Narrow" w:cs="Arial"/>
              </w:rPr>
            </w:pPr>
          </w:p>
        </w:tc>
        <w:tc>
          <w:tcPr>
            <w:tcW w:w="720" w:type="dxa"/>
          </w:tcPr>
          <w:p>
            <w:pPr>
              <w:jc w:val="center"/>
              <w:rPr>
                <w:rFonts w:ascii="Arial Narrow" w:hAnsi="Arial Narrow" w:cs="Calibri"/>
              </w:rPr>
            </w:pPr>
          </w:p>
        </w:tc>
        <w:tc>
          <w:tcPr>
            <w:tcW w:w="664" w:type="dxa"/>
          </w:tcPr>
          <w:p>
            <w:pPr>
              <w:jc w:val="center"/>
              <w:rPr>
                <w:rFonts w:ascii="Arial Narrow" w:hAnsi="Arial Narrow" w:cs="Arial"/>
              </w:rPr>
            </w:pPr>
            <w:r>
              <w:rPr>
                <w:rFonts w:ascii="Arial Narrow" w:hAnsi="Arial Narrow" w:cs="Arial"/>
              </w:rPr>
              <w:t>1</w:t>
            </w:r>
          </w:p>
        </w:tc>
        <w:tc>
          <w:tcPr>
            <w:tcW w:w="898" w:type="dxa"/>
          </w:tcPr>
          <w:p>
            <w:pPr>
              <w:jc w:val="center"/>
              <w:rPr>
                <w:rFonts w:ascii="Arial Narrow" w:hAnsi="Arial Narrow" w:cs="Arial"/>
              </w:rPr>
            </w:pPr>
            <w:r>
              <w:rPr>
                <w:rFonts w:ascii="Arial Narrow" w:hAnsi="Arial Narrow" w:cs="Arial"/>
              </w:rPr>
              <w:t>23%</w:t>
            </w:r>
          </w:p>
        </w:tc>
      </w:tr>
    </w:tbl>
    <w:p>
      <w:pPr>
        <w:spacing w:after="0" w:line="240" w:lineRule="auto"/>
        <w:ind w:left="567" w:right="992"/>
        <w:rPr>
          <w:rFonts w:ascii="Arial" w:hAnsi="Arial" w:cs="Arial"/>
          <w:sz w:val="24"/>
          <w:szCs w:val="24"/>
        </w:rPr>
      </w:pPr>
    </w:p>
    <w:p>
      <w:pPr>
        <w:pStyle w:val="15"/>
        <w:numPr>
          <w:ilvl w:val="0"/>
          <w:numId w:val="19"/>
        </w:numPr>
        <w:spacing w:after="0"/>
        <w:ind w:left="567"/>
        <w:jc w:val="both"/>
        <w:rPr>
          <w:rFonts w:ascii="Arial" w:hAnsi="Arial" w:cs="Arial"/>
          <w:sz w:val="24"/>
          <w:szCs w:val="24"/>
        </w:rPr>
      </w:pPr>
      <w:r>
        <w:rPr>
          <w:rFonts w:ascii="Arial" w:hAnsi="Arial" w:cs="Arial"/>
          <w:sz w:val="24"/>
          <w:szCs w:val="24"/>
        </w:rPr>
        <w:t>KETERANGAN KEBERHASILAN/KEGAGALAN CAPAIAN KINERJA :</w:t>
      </w:r>
    </w:p>
    <w:p>
      <w:pPr>
        <w:spacing w:after="0"/>
        <w:ind w:left="567" w:firstLine="567"/>
        <w:jc w:val="both"/>
        <w:rPr>
          <w:rFonts w:ascii="Arial" w:hAnsi="Arial" w:cs="Arial"/>
          <w:sz w:val="24"/>
          <w:szCs w:val="24"/>
        </w:rPr>
      </w:pPr>
      <w:r>
        <w:rPr>
          <w:rFonts w:ascii="Arial" w:hAnsi="Arial" w:cs="Arial"/>
          <w:sz w:val="24"/>
          <w:szCs w:val="24"/>
        </w:rPr>
        <w:t>Target Kinerja Sub Kegiatan Administrasi Keuangan Perangkat Daera pada triwulan I adalah tersedianya Laporan Administrasi Keuangan Perangkat Daerah Evaluasi Kinerja Perangkat Daerah</w:t>
      </w:r>
    </w:p>
    <w:p>
      <w:pPr>
        <w:spacing w:after="0"/>
        <w:jc w:val="both"/>
        <w:rPr>
          <w:rFonts w:ascii="Arial" w:hAnsi="Arial" w:cs="Arial"/>
          <w:sz w:val="24"/>
          <w:szCs w:val="24"/>
        </w:rPr>
      </w:pPr>
    </w:p>
    <w:p>
      <w:pPr>
        <w:spacing w:after="0"/>
        <w:ind w:left="567" w:firstLine="567"/>
        <w:jc w:val="both"/>
        <w:rPr>
          <w:rFonts w:ascii="Arial" w:hAnsi="Arial" w:cs="Arial"/>
          <w:sz w:val="24"/>
          <w:szCs w:val="24"/>
          <w:lang w:val="en-US"/>
        </w:rPr>
      </w:pPr>
      <w:r>
        <w:rPr>
          <w:rFonts w:ascii="Arial" w:hAnsi="Arial" w:cs="Arial"/>
          <w:sz w:val="24"/>
          <w:szCs w:val="24"/>
        </w:rPr>
        <w:t>Beberapa kegiatan/aktivitas yang dilakukan dalam rangka pencapaian kinerja subkegiatan Administrasi Keuangan Perangkat Daerah, pada triwulan I, antara lain</w:t>
      </w:r>
      <w:r>
        <w:rPr>
          <w:rFonts w:ascii="Arial" w:hAnsi="Arial" w:cs="Arial"/>
          <w:sz w:val="24"/>
          <w:szCs w:val="24"/>
          <w:lang w:val="en-US"/>
        </w:rPr>
        <w:t>.</w:t>
      </w:r>
    </w:p>
    <w:p>
      <w:pPr>
        <w:pStyle w:val="15"/>
        <w:numPr>
          <w:ilvl w:val="0"/>
          <w:numId w:val="21"/>
        </w:numPr>
        <w:spacing w:before="120" w:after="0"/>
        <w:ind w:left="1134"/>
        <w:jc w:val="both"/>
        <w:rPr>
          <w:rFonts w:ascii="Arial" w:hAnsi="Arial" w:cs="Arial"/>
          <w:sz w:val="24"/>
          <w:szCs w:val="24"/>
        </w:rPr>
      </w:pPr>
      <w:r>
        <w:rPr>
          <w:rFonts w:ascii="Arial" w:hAnsi="Arial" w:cs="Arial"/>
          <w:sz w:val="24"/>
          <w:szCs w:val="24"/>
        </w:rPr>
        <w:t>Penginputan di aplikasi, sampai tersedia sp2d dan tanda terima honor</w:t>
      </w:r>
    </w:p>
    <w:p>
      <w:pPr>
        <w:spacing w:after="0"/>
        <w:jc w:val="center"/>
        <w:rPr>
          <w:rFonts w:ascii="Arial" w:hAnsi="Arial" w:cs="Arial"/>
          <w:b/>
          <w:sz w:val="24"/>
          <w:szCs w:val="24"/>
        </w:rPr>
      </w:pPr>
    </w:p>
    <w:tbl>
      <w:tblPr>
        <w:tblStyle w:val="12"/>
        <w:tblW w:w="10141"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17"/>
        <w:gridCol w:w="1194"/>
        <w:gridCol w:w="49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17" w:type="dxa"/>
          </w:tcPr>
          <w:p>
            <w:pPr>
              <w:spacing w:after="0"/>
              <w:jc w:val="center"/>
              <w:rPr>
                <w:rFonts w:ascii="Arial" w:hAnsi="Arial" w:cs="Arial"/>
                <w:sz w:val="24"/>
                <w:szCs w:val="24"/>
              </w:rPr>
            </w:pPr>
            <w:r>
              <w:rPr>
                <w:rFonts w:ascii="Arial" w:hAnsi="Arial" w:cs="Arial"/>
                <w:sz w:val="24"/>
                <w:szCs w:val="24"/>
              </w:rPr>
              <w:t>Mengetahui,</w:t>
            </w:r>
          </w:p>
          <w:p>
            <w:pPr>
              <w:spacing w:after="0"/>
              <w:jc w:val="center"/>
              <w:rPr>
                <w:rFonts w:ascii="Arial" w:hAnsi="Arial" w:cs="Arial"/>
                <w:sz w:val="24"/>
                <w:szCs w:val="24"/>
              </w:rPr>
            </w:pPr>
            <w:r>
              <w:rPr>
                <w:rFonts w:ascii="Arial" w:hAnsi="Arial" w:cs="Arial"/>
                <w:sz w:val="24"/>
                <w:szCs w:val="24"/>
              </w:rPr>
              <w:t>ATASAN LANGSUNG</w:t>
            </w:r>
          </w:p>
          <w:p>
            <w:pPr>
              <w:spacing w:after="0"/>
              <w:jc w:val="center"/>
              <w:rPr>
                <w:rFonts w:ascii="Arial" w:hAnsi="Arial" w:cs="Arial"/>
                <w:sz w:val="24"/>
                <w:szCs w:val="24"/>
                <w:lang w:val="en-US"/>
              </w:rPr>
            </w:pPr>
            <w:r>
              <w:rPr>
                <w:rFonts w:ascii="Arial" w:hAnsi="Arial" w:cs="Arial"/>
                <w:sz w:val="24"/>
                <w:szCs w:val="24"/>
              </w:rPr>
              <w:t>CAMAT ASTAMBUL</w:t>
            </w:r>
          </w:p>
          <w:p>
            <w:pPr>
              <w:spacing w:after="0"/>
              <w:jc w:val="center"/>
              <w:rPr>
                <w:rFonts w:ascii="Arial" w:hAnsi="Arial" w:cs="Arial"/>
                <w:sz w:val="24"/>
                <w:szCs w:val="24"/>
                <w:lang w:val="en-US"/>
              </w:rPr>
            </w:pPr>
            <w:r>
              <w:rPr>
                <w:rFonts w:ascii="Arial" w:hAnsi="Arial" w:cs="Arial"/>
                <w:iCs/>
                <w:color w:val="000000"/>
                <w:lang w:val="en-US"/>
              </w:rPr>
              <w:drawing>
                <wp:inline distT="0" distB="0" distL="0" distR="0">
                  <wp:extent cx="1339215" cy="64833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pic:cNvPicPr>
                        </pic:nvPicPr>
                        <pic:blipFill>
                          <a:blip r:embed="rId14" cstate="print">
                            <a:extLst>
                              <a:ext uri="{BEBA8EAE-BF5A-486C-A8C5-ECC9F3942E4B}">
                                <a14:imgProps xmlns:a14="http://schemas.microsoft.com/office/drawing/2010/main">
                                  <a14:imgLayer r:embed="rId15">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339702" cy="648586"/>
                          </a:xfrm>
                          <a:prstGeom prst="rect">
                            <a:avLst/>
                          </a:prstGeom>
                        </pic:spPr>
                      </pic:pic>
                    </a:graphicData>
                  </a:graphic>
                </wp:inline>
              </w:drawing>
            </w:r>
          </w:p>
          <w:p>
            <w:pPr>
              <w:spacing w:after="0"/>
              <w:jc w:val="center"/>
              <w:rPr>
                <w:rFonts w:ascii="Arial" w:hAnsi="Arial" w:cs="Arial"/>
                <w:sz w:val="24"/>
                <w:szCs w:val="24"/>
              </w:rPr>
            </w:pPr>
            <w:r>
              <w:rPr>
                <w:rFonts w:ascii="Arial" w:hAnsi="Arial" w:cs="Arial"/>
                <w:sz w:val="24"/>
                <w:szCs w:val="24"/>
              </w:rPr>
              <w:t>AHMAD FAUZI, S.Sos.MM</w:t>
            </w:r>
          </w:p>
          <w:p>
            <w:pPr>
              <w:spacing w:after="0"/>
              <w:jc w:val="center"/>
              <w:rPr>
                <w:rFonts w:ascii="Arial" w:hAnsi="Arial" w:cs="Arial"/>
                <w:sz w:val="24"/>
                <w:szCs w:val="24"/>
              </w:rPr>
            </w:pPr>
            <w:r>
              <w:rPr>
                <w:rFonts w:ascii="Arial" w:hAnsi="Arial" w:cs="Arial"/>
                <w:sz w:val="24"/>
                <w:szCs w:val="24"/>
              </w:rPr>
              <w:t>NIP. 196801231998031007</w:t>
            </w:r>
          </w:p>
        </w:tc>
        <w:tc>
          <w:tcPr>
            <w:tcW w:w="1194" w:type="dxa"/>
          </w:tcPr>
          <w:p>
            <w:pPr>
              <w:ind w:right="992"/>
              <w:rPr>
                <w:rFonts w:ascii="Arial" w:hAnsi="Arial" w:cs="Arial"/>
                <w:sz w:val="24"/>
                <w:szCs w:val="24"/>
              </w:rPr>
            </w:pPr>
          </w:p>
        </w:tc>
        <w:tc>
          <w:tcPr>
            <w:tcW w:w="4930" w:type="dxa"/>
          </w:tcPr>
          <w:p>
            <w:pPr>
              <w:spacing w:after="0"/>
              <w:jc w:val="center"/>
              <w:rPr>
                <w:rFonts w:ascii="Arial" w:hAnsi="Arial" w:cs="Arial"/>
                <w:sz w:val="24"/>
                <w:szCs w:val="24"/>
              </w:rPr>
            </w:pPr>
            <w:r>
              <w:rPr>
                <w:rFonts w:ascii="Arial" w:hAnsi="Arial" w:cs="Arial"/>
                <w:sz w:val="24"/>
                <w:szCs w:val="24"/>
              </w:rPr>
              <w:t>Astambul, 30 Maret  2023</w:t>
            </w:r>
          </w:p>
          <w:p>
            <w:pPr>
              <w:spacing w:after="0"/>
              <w:jc w:val="center"/>
              <w:rPr>
                <w:rFonts w:ascii="Arial" w:hAnsi="Arial" w:cs="Arial"/>
                <w:sz w:val="24"/>
                <w:szCs w:val="24"/>
              </w:rPr>
            </w:pPr>
            <w:r>
              <w:rPr>
                <w:rFonts w:ascii="Arial" w:hAnsi="Arial" w:cs="Arial"/>
                <w:sz w:val="24"/>
                <w:szCs w:val="24"/>
              </w:rPr>
              <w:t xml:space="preserve">Plt. KEPALA SUBBAGIAN PERENCANAAN, KEUANGAN DAN ASET </w:t>
            </w:r>
          </w:p>
          <w:p>
            <w:pPr>
              <w:ind w:left="1026"/>
              <w:rPr>
                <w:rFonts w:ascii="Arial" w:hAnsi="Arial" w:cs="Arial"/>
                <w:sz w:val="24"/>
                <w:szCs w:val="24"/>
                <w:lang w:val="en-US"/>
              </w:rPr>
            </w:pPr>
            <w:r>
              <w:rPr>
                <w:rFonts w:ascii="Arial" w:hAnsi="Arial" w:cs="Arial"/>
                <w:sz w:val="24"/>
                <w:szCs w:val="24"/>
                <w:lang w:val="en-US"/>
              </w:rPr>
              <w:drawing>
                <wp:inline distT="0" distB="0" distL="0" distR="0">
                  <wp:extent cx="1796415" cy="850265"/>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12" cstate="print">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801098" cy="852590"/>
                          </a:xfrm>
                          <a:prstGeom prst="rect">
                            <a:avLst/>
                          </a:prstGeom>
                        </pic:spPr>
                      </pic:pic>
                    </a:graphicData>
                  </a:graphic>
                </wp:inline>
              </w:drawing>
            </w:r>
          </w:p>
          <w:p>
            <w:pPr>
              <w:spacing w:after="0"/>
              <w:ind w:left="1026"/>
              <w:rPr>
                <w:rFonts w:ascii="Arial" w:hAnsi="Arial" w:cs="Arial"/>
                <w:sz w:val="24"/>
                <w:szCs w:val="24"/>
              </w:rPr>
            </w:pPr>
            <w:r>
              <w:rPr>
                <w:rFonts w:ascii="Arial" w:hAnsi="Arial" w:cs="Arial"/>
                <w:sz w:val="24"/>
                <w:szCs w:val="24"/>
              </w:rPr>
              <w:t>Dewi Erliyani, S.Sos</w:t>
            </w:r>
          </w:p>
          <w:p>
            <w:pPr>
              <w:spacing w:after="0"/>
              <w:ind w:left="743"/>
              <w:rPr>
                <w:rFonts w:ascii="Arial" w:hAnsi="Arial" w:cs="Arial"/>
                <w:sz w:val="24"/>
                <w:szCs w:val="24"/>
              </w:rPr>
            </w:pPr>
            <w:r>
              <w:rPr>
                <w:rFonts w:ascii="Arial" w:hAnsi="Arial" w:cs="Arial"/>
                <w:sz w:val="24"/>
                <w:szCs w:val="24"/>
              </w:rPr>
              <w:t>NIP 197904211998032001</w:t>
            </w:r>
          </w:p>
        </w:tc>
      </w:tr>
    </w:tbl>
    <w:p>
      <w:pPr>
        <w:pStyle w:val="13"/>
      </w:pPr>
    </w:p>
    <w:p>
      <w:pPr>
        <w:spacing w:after="0" w:line="240" w:lineRule="auto"/>
        <w:rPr>
          <w:rFonts w:ascii="Arial" w:hAnsi="Arial" w:eastAsia="Arial" w:cs="Arial"/>
          <w:b/>
          <w:bCs/>
          <w:lang w:val="id"/>
        </w:rPr>
      </w:pPr>
      <w:r>
        <w:br w:type="page"/>
      </w:r>
    </w:p>
    <w:p>
      <w:pPr>
        <w:pStyle w:val="13"/>
      </w:pPr>
      <w:r>
        <w:t>SURAT</w:t>
      </w:r>
      <w:r>
        <w:rPr>
          <w:spacing w:val="-10"/>
        </w:rPr>
        <w:t xml:space="preserve"> </w:t>
      </w:r>
      <w:r>
        <w:t>PERNYATAAN</w:t>
      </w:r>
      <w:r>
        <w:rPr>
          <w:spacing w:val="-7"/>
        </w:rPr>
        <w:t xml:space="preserve"> </w:t>
      </w:r>
      <w:r>
        <w:t>KESANGGUPAN</w:t>
      </w:r>
      <w:r>
        <w:rPr>
          <w:spacing w:val="-58"/>
        </w:rPr>
        <w:t xml:space="preserve"> </w:t>
      </w:r>
      <w:r>
        <w:t>PENCAPAIAN KINERJA TRIWULANAN</w:t>
      </w:r>
      <w:r>
        <w:rPr>
          <w:spacing w:val="1"/>
        </w:rPr>
        <w:t xml:space="preserve"> </w:t>
      </w:r>
      <w:r>
        <w:t>TAHUN</w:t>
      </w:r>
      <w:r>
        <w:rPr>
          <w:spacing w:val="-1"/>
        </w:rPr>
        <w:t xml:space="preserve"> </w:t>
      </w:r>
      <w:r>
        <w:t>2023</w:t>
      </w:r>
    </w:p>
    <w:p>
      <w:pPr>
        <w:pStyle w:val="6"/>
        <w:rPr>
          <w:rFonts w:ascii="Arial"/>
          <w:b/>
          <w:sz w:val="24"/>
        </w:rPr>
      </w:pPr>
    </w:p>
    <w:p>
      <w:pPr>
        <w:pStyle w:val="6"/>
        <w:spacing w:before="2"/>
        <w:rPr>
          <w:rFonts w:ascii="Arial" w:hAnsi="Arial" w:cs="Arial"/>
          <w:b/>
          <w:sz w:val="20"/>
        </w:rPr>
      </w:pPr>
    </w:p>
    <w:p>
      <w:pPr>
        <w:pStyle w:val="6"/>
        <w:spacing w:before="1"/>
        <w:ind w:left="286"/>
        <w:rPr>
          <w:rFonts w:ascii="Arial" w:hAnsi="Arial" w:cs="Arial"/>
          <w:sz w:val="19"/>
        </w:rPr>
      </w:pPr>
      <w:r>
        <w:rPr>
          <w:rFonts w:ascii="Arial" w:hAnsi="Arial" w:cs="Arial"/>
        </w:rPr>
        <w:t>Saya</w:t>
      </w:r>
      <w:r>
        <w:rPr>
          <w:rFonts w:ascii="Arial" w:hAnsi="Arial" w:cs="Arial"/>
          <w:spacing w:val="-3"/>
        </w:rPr>
        <w:t xml:space="preserve"> </w:t>
      </w:r>
      <w:r>
        <w:rPr>
          <w:rFonts w:ascii="Arial" w:hAnsi="Arial" w:cs="Arial"/>
        </w:rPr>
        <w:t>yang bertandatangan</w:t>
      </w:r>
      <w:r>
        <w:rPr>
          <w:rFonts w:ascii="Arial" w:hAnsi="Arial" w:cs="Arial"/>
          <w:spacing w:val="-2"/>
        </w:rPr>
        <w:t xml:space="preserve"> </w:t>
      </w:r>
      <w:r>
        <w:rPr>
          <w:rFonts w:ascii="Arial" w:hAnsi="Arial" w:cs="Arial"/>
        </w:rPr>
        <w:t>dibawah</w:t>
      </w:r>
      <w:r>
        <w:rPr>
          <w:rFonts w:ascii="Arial" w:hAnsi="Arial" w:cs="Arial"/>
          <w:spacing w:val="-2"/>
        </w:rPr>
        <w:t xml:space="preserve"> </w:t>
      </w:r>
      <w:r>
        <w:rPr>
          <w:rFonts w:ascii="Arial" w:hAnsi="Arial" w:cs="Arial"/>
        </w:rPr>
        <w:t>ini</w:t>
      </w:r>
      <w:r>
        <w:rPr>
          <w:rFonts w:ascii="Arial" w:hAnsi="Arial" w:cs="Arial"/>
          <w:spacing w:val="-3"/>
        </w:rPr>
        <w:t xml:space="preserve"> </w:t>
      </w:r>
      <w:r>
        <w:rPr>
          <w:rFonts w:ascii="Arial" w:hAnsi="Arial" w:cs="Arial"/>
        </w:rPr>
        <w:t>:</w:t>
      </w:r>
    </w:p>
    <w:p>
      <w:pPr>
        <w:pStyle w:val="6"/>
        <w:tabs>
          <w:tab w:val="left" w:pos="4040"/>
        </w:tabs>
        <w:spacing w:before="1"/>
        <w:ind w:left="286"/>
        <w:rPr>
          <w:rFonts w:ascii="Arial" w:hAnsi="Arial" w:cs="Arial"/>
        </w:rPr>
      </w:pPr>
      <w:r>
        <w:rPr>
          <w:rFonts w:ascii="Arial" w:hAnsi="Arial" w:cs="Arial"/>
        </w:rPr>
        <w:t>NAMA</w:t>
      </w:r>
      <w:r>
        <w:rPr>
          <w:rFonts w:ascii="Arial" w:hAnsi="Arial" w:cs="Arial"/>
        </w:rPr>
        <w:tab/>
      </w:r>
      <w:r>
        <w:rPr>
          <w:rFonts w:ascii="Arial" w:hAnsi="Arial" w:cs="Arial"/>
        </w:rPr>
        <w:t>: DEWI ERLIYANI, S.Sos</w:t>
      </w:r>
    </w:p>
    <w:p>
      <w:pPr>
        <w:pStyle w:val="6"/>
        <w:tabs>
          <w:tab w:val="left" w:pos="4040"/>
        </w:tabs>
        <w:spacing w:before="1" w:line="252" w:lineRule="exact"/>
        <w:ind w:left="286"/>
        <w:rPr>
          <w:rFonts w:ascii="Arial" w:hAnsi="Arial" w:cs="Arial"/>
        </w:rPr>
      </w:pPr>
      <w:r>
        <w:rPr>
          <w:rFonts w:ascii="Arial" w:hAnsi="Arial" w:cs="Arial"/>
        </w:rPr>
        <w:t>NIP</w:t>
      </w:r>
      <w:r>
        <w:rPr>
          <w:rFonts w:ascii="Arial" w:hAnsi="Arial" w:cs="Arial"/>
        </w:rPr>
        <w:tab/>
      </w:r>
      <w:r>
        <w:rPr>
          <w:rFonts w:ascii="Arial" w:hAnsi="Arial" w:cs="Arial"/>
        </w:rPr>
        <w:t>: 197904211998032001</w:t>
      </w:r>
    </w:p>
    <w:p>
      <w:pPr>
        <w:pStyle w:val="6"/>
        <w:tabs>
          <w:tab w:val="left" w:pos="4040"/>
        </w:tabs>
        <w:spacing w:line="252" w:lineRule="exact"/>
        <w:ind w:left="286"/>
        <w:rPr>
          <w:rFonts w:ascii="Arial" w:hAnsi="Arial" w:cs="Arial"/>
        </w:rPr>
      </w:pPr>
      <w:r>
        <w:rPr>
          <w:rFonts w:ascii="Arial" w:hAnsi="Arial" w:cs="Arial"/>
        </w:rPr>
        <w:t>PANGKAT/GOL</w:t>
      </w:r>
      <w:r>
        <w:rPr>
          <w:rFonts w:ascii="Arial" w:hAnsi="Arial" w:cs="Arial"/>
          <w:spacing w:val="-2"/>
        </w:rPr>
        <w:t xml:space="preserve"> </w:t>
      </w:r>
      <w:r>
        <w:rPr>
          <w:rFonts w:ascii="Arial" w:hAnsi="Arial" w:cs="Arial"/>
        </w:rPr>
        <w:t>RUANG</w:t>
      </w:r>
      <w:r>
        <w:rPr>
          <w:rFonts w:ascii="Arial" w:hAnsi="Arial" w:cs="Arial"/>
        </w:rPr>
        <w:tab/>
      </w:r>
      <w:r>
        <w:rPr>
          <w:rFonts w:ascii="Arial" w:hAnsi="Arial" w:cs="Arial"/>
        </w:rPr>
        <w:t>: lll/c</w:t>
      </w:r>
    </w:p>
    <w:p>
      <w:pPr>
        <w:pStyle w:val="6"/>
        <w:tabs>
          <w:tab w:val="left" w:pos="4040"/>
        </w:tabs>
        <w:spacing w:line="252" w:lineRule="exact"/>
        <w:ind w:left="286"/>
        <w:rPr>
          <w:rFonts w:ascii="Arial" w:hAnsi="Arial" w:cs="Arial"/>
        </w:rPr>
      </w:pPr>
      <w:r>
        <w:rPr>
          <w:rFonts w:ascii="Arial" w:hAnsi="Arial" w:cs="Arial"/>
        </w:rPr>
        <w:t>JABATAN</w:t>
      </w:r>
      <w:r>
        <w:rPr>
          <w:rFonts w:ascii="Arial" w:hAnsi="Arial" w:cs="Arial"/>
        </w:rPr>
        <w:tab/>
      </w:r>
      <w:r>
        <w:rPr>
          <w:rFonts w:ascii="Arial" w:hAnsi="Arial" w:cs="Arial"/>
        </w:rPr>
        <w:t>: Plt. Kepala Subbagian Perencanaan dan Keuangan</w:t>
      </w:r>
    </w:p>
    <w:p>
      <w:pPr>
        <w:pStyle w:val="6"/>
        <w:tabs>
          <w:tab w:val="left" w:pos="4040"/>
        </w:tabs>
        <w:spacing w:before="1"/>
        <w:ind w:left="286"/>
        <w:rPr>
          <w:rFonts w:ascii="Arial" w:hAnsi="Arial" w:cs="Arial"/>
          <w:lang w:val="en-US"/>
        </w:rPr>
      </w:pPr>
      <w:r>
        <w:rPr>
          <w:rFonts w:ascii="Arial" w:hAnsi="Arial" w:cs="Arial"/>
        </w:rPr>
        <w:t>PENANGGUNGJAWAB</w:t>
      </w:r>
      <w:r>
        <w:rPr>
          <w:rFonts w:ascii="Arial" w:hAnsi="Arial" w:cs="Arial"/>
          <w:spacing w:val="-8"/>
        </w:rPr>
        <w:t xml:space="preserve"> </w:t>
      </w:r>
      <w:r>
        <w:rPr>
          <w:rFonts w:ascii="Arial" w:hAnsi="Arial" w:cs="Arial"/>
        </w:rPr>
        <w:t>KINERJA</w:t>
      </w:r>
      <w:r>
        <w:rPr>
          <w:rFonts w:ascii="Arial" w:hAnsi="Arial" w:cs="Arial"/>
        </w:rPr>
        <w:tab/>
      </w:r>
      <w:r>
        <w:rPr>
          <w:rFonts w:ascii="Arial" w:hAnsi="Arial" w:cs="Arial"/>
        </w:rPr>
        <w:t>: CAMAT</w:t>
      </w:r>
    </w:p>
    <w:p>
      <w:pPr>
        <w:pStyle w:val="6"/>
        <w:tabs>
          <w:tab w:val="left" w:pos="4040"/>
        </w:tabs>
        <w:spacing w:before="1"/>
        <w:ind w:left="286"/>
        <w:rPr>
          <w:rFonts w:ascii="Arial" w:hAnsi="Arial" w:cs="Arial"/>
          <w:sz w:val="20"/>
          <w:lang w:val="en-US"/>
        </w:rPr>
      </w:pPr>
    </w:p>
    <w:p>
      <w:pPr>
        <w:spacing w:before="1"/>
        <w:ind w:left="286" w:right="1142"/>
        <w:jc w:val="both"/>
        <w:rPr>
          <w:rFonts w:ascii="Arial" w:hAnsi="Arial" w:cs="Arial"/>
          <w:lang w:val="en-US"/>
        </w:rPr>
      </w:pPr>
      <w:r>
        <w:rPr>
          <w:rFonts w:ascii="Arial" w:hAnsi="Arial" w:cs="Arial"/>
        </w:rPr>
        <w:t xml:space="preserve">Menyatakan kesanggupan dan bertanggungjawab penuh untuk pencapaian </w:t>
      </w:r>
      <w:r>
        <w:rPr>
          <w:rFonts w:ascii="Arial" w:hAnsi="Arial" w:cs="Arial"/>
          <w:spacing w:val="-60"/>
        </w:rPr>
        <w:t xml:space="preserve"> </w:t>
      </w:r>
      <w:r>
        <w:rPr>
          <w:rFonts w:ascii="Arial" w:hAnsi="Arial" w:cs="Arial"/>
        </w:rPr>
        <w:t xml:space="preserve">kinerja </w:t>
      </w:r>
      <w:r>
        <w:rPr>
          <w:rFonts w:ascii="Arial" w:hAnsi="Arial" w:cs="Arial"/>
          <w:i/>
        </w:rPr>
        <w:t xml:space="preserve">sasaran/program/kegiatan/sub kegiatan </w:t>
      </w:r>
      <w:r>
        <w:rPr>
          <w:rFonts w:ascii="Arial" w:hAnsi="Arial" w:cs="Arial"/>
        </w:rPr>
        <w:t>triwulan  l tahun 202</w:t>
      </w:r>
      <w:r>
        <w:rPr>
          <w:rFonts w:ascii="Arial" w:hAnsi="Arial" w:cs="Arial"/>
          <w:lang w:val="en-US"/>
        </w:rPr>
        <w:t>3</w:t>
      </w:r>
      <w:r>
        <w:rPr>
          <w:rFonts w:ascii="Arial" w:hAnsi="Arial" w:cs="Arial"/>
          <w:spacing w:val="1"/>
        </w:rPr>
        <w:t xml:space="preserve"> </w:t>
      </w:r>
      <w:r>
        <w:rPr>
          <w:rFonts w:ascii="Arial" w:hAnsi="Arial" w:cs="Arial"/>
        </w:rPr>
        <w:t xml:space="preserve">Kecamatan Astambul </w:t>
      </w:r>
      <w:r>
        <w:rPr>
          <w:rFonts w:ascii="Arial" w:hAnsi="Arial" w:cs="Arial"/>
          <w:spacing w:val="1"/>
        </w:rPr>
        <w:t xml:space="preserve"> </w:t>
      </w:r>
      <w:r>
        <w:rPr>
          <w:rFonts w:ascii="Arial" w:hAnsi="Arial" w:cs="Arial"/>
        </w:rPr>
        <w:t>dengan target</w:t>
      </w:r>
      <w:r>
        <w:rPr>
          <w:rFonts w:ascii="Arial" w:hAnsi="Arial" w:cs="Arial"/>
          <w:spacing w:val="-2"/>
        </w:rPr>
        <w:t xml:space="preserve"> </w:t>
      </w:r>
      <w:r>
        <w:rPr>
          <w:rFonts w:ascii="Arial" w:hAnsi="Arial" w:cs="Arial"/>
        </w:rPr>
        <w:t>sebesar</w:t>
      </w:r>
      <w:r>
        <w:rPr>
          <w:rFonts w:ascii="Arial" w:hAnsi="Arial" w:cs="Arial"/>
          <w:spacing w:val="1"/>
        </w:rPr>
        <w:t xml:space="preserve"> </w:t>
      </w:r>
      <w:r>
        <w:rPr>
          <w:rFonts w:ascii="Arial" w:hAnsi="Arial" w:cs="Arial"/>
          <w:spacing w:val="1"/>
          <w:lang w:val="en-US"/>
        </w:rPr>
        <w:t>Rp.</w:t>
      </w:r>
      <w:r>
        <w:rPr>
          <w:rFonts w:ascii="Arial" w:hAnsi="Arial" w:cs="Arial"/>
        </w:rPr>
        <w:t>1.</w:t>
      </w:r>
      <w:r>
        <w:rPr>
          <w:rFonts w:ascii="Arial" w:hAnsi="Arial" w:cs="Arial"/>
          <w:lang w:val="en-US"/>
        </w:rPr>
        <w:t>892.182.851</w:t>
      </w:r>
    </w:p>
    <w:p>
      <w:pPr>
        <w:pStyle w:val="6"/>
        <w:ind w:left="286" w:right="702"/>
        <w:rPr>
          <w:rFonts w:ascii="Arial" w:hAnsi="Arial" w:cs="Arial"/>
          <w:lang w:val="en-US"/>
        </w:rPr>
      </w:pPr>
      <w:r>
        <w:rPr>
          <w:rFonts w:ascii="Arial" w:hAnsi="Arial" w:cs="Arial"/>
        </w:rPr>
        <w:t xml:space="preserve">Demikian pernyataan ini dibuat dengan sebenarnya, dan apabila tidak terpenuhi </w:t>
      </w:r>
      <w:r>
        <w:rPr>
          <w:rFonts w:ascii="Arial" w:hAnsi="Arial" w:cs="Arial"/>
          <w:spacing w:val="-59"/>
        </w:rPr>
        <w:t xml:space="preserve"> </w:t>
      </w:r>
      <w:r>
        <w:rPr>
          <w:rFonts w:ascii="Arial" w:hAnsi="Arial" w:cs="Arial"/>
        </w:rPr>
        <w:t>maka</w:t>
      </w:r>
      <w:r>
        <w:rPr>
          <w:rFonts w:ascii="Arial" w:hAnsi="Arial" w:cs="Arial"/>
          <w:spacing w:val="-3"/>
        </w:rPr>
        <w:t xml:space="preserve"> </w:t>
      </w:r>
      <w:r>
        <w:rPr>
          <w:rFonts w:ascii="Arial" w:hAnsi="Arial" w:cs="Arial"/>
        </w:rPr>
        <w:t>saya siap menerima sanksi yang diberikan.</w:t>
      </w:r>
    </w:p>
    <w:p>
      <w:pPr>
        <w:pStyle w:val="6"/>
        <w:ind w:left="286" w:right="702"/>
        <w:rPr>
          <w:rFonts w:ascii="Arial" w:hAnsi="Arial" w:cs="Arial"/>
          <w:lang w:val="en-US"/>
        </w:rPr>
      </w:pPr>
    </w:p>
    <w:tbl>
      <w:tblPr>
        <w:tblStyle w:val="4"/>
        <w:tblW w:w="0" w:type="auto"/>
        <w:tblInd w:w="1015" w:type="dxa"/>
        <w:tblLayout w:type="fixed"/>
        <w:tblCellMar>
          <w:top w:w="0" w:type="dxa"/>
          <w:left w:w="0" w:type="dxa"/>
          <w:bottom w:w="0" w:type="dxa"/>
          <w:right w:w="0" w:type="dxa"/>
        </w:tblCellMar>
      </w:tblPr>
      <w:tblGrid>
        <w:gridCol w:w="3335"/>
        <w:gridCol w:w="3614"/>
      </w:tblGrid>
      <w:tr>
        <w:tblPrEx>
          <w:tblCellMar>
            <w:top w:w="0" w:type="dxa"/>
            <w:left w:w="0" w:type="dxa"/>
            <w:bottom w:w="0" w:type="dxa"/>
            <w:right w:w="0" w:type="dxa"/>
          </w:tblCellMar>
        </w:tblPrEx>
        <w:trPr>
          <w:trHeight w:val="2258" w:hRule="atLeast"/>
        </w:trPr>
        <w:tc>
          <w:tcPr>
            <w:tcW w:w="3335" w:type="dxa"/>
          </w:tcPr>
          <w:p>
            <w:pPr>
              <w:pStyle w:val="30"/>
              <w:spacing w:line="276" w:lineRule="auto"/>
              <w:ind w:left="-22" w:right="197"/>
              <w:jc w:val="center"/>
              <w:rPr>
                <w:rFonts w:ascii="Arial" w:hAnsi="Arial" w:cs="Arial"/>
              </w:rPr>
            </w:pPr>
          </w:p>
          <w:p>
            <w:pPr>
              <w:pStyle w:val="30"/>
              <w:spacing w:line="276" w:lineRule="auto"/>
              <w:ind w:left="-22" w:right="197"/>
              <w:jc w:val="center"/>
              <w:rPr>
                <w:rFonts w:ascii="Arial" w:hAnsi="Arial" w:cs="Arial"/>
              </w:rPr>
            </w:pPr>
          </w:p>
          <w:p>
            <w:pPr>
              <w:pStyle w:val="30"/>
              <w:spacing w:line="276" w:lineRule="auto"/>
              <w:ind w:left="-164" w:right="197"/>
              <w:jc w:val="center"/>
              <w:rPr>
                <w:rFonts w:ascii="Arial" w:hAnsi="Arial" w:cs="Arial"/>
              </w:rPr>
            </w:pPr>
            <w:r>
              <w:rPr>
                <w:rFonts w:ascii="Arial" w:hAnsi="Arial" w:cs="Arial"/>
              </w:rPr>
              <w:t>Camat</w:t>
            </w:r>
          </w:p>
          <w:p>
            <w:pPr>
              <w:pStyle w:val="30"/>
              <w:spacing w:line="276" w:lineRule="auto"/>
              <w:ind w:left="828" w:right="197"/>
              <w:rPr>
                <w:rFonts w:ascii="Arial" w:hAnsi="Arial" w:cs="Arial"/>
              </w:rPr>
            </w:pPr>
            <w:r>
              <w:rPr>
                <w:rFonts w:ascii="Arial" w:hAnsi="Arial" w:cs="Arial"/>
                <w:iCs/>
                <w:color w:val="000000"/>
                <w:lang w:val="en-US"/>
              </w:rPr>
              <w:drawing>
                <wp:inline distT="0" distB="0" distL="0" distR="0">
                  <wp:extent cx="1339215" cy="64833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14" cstate="print">
                            <a:extLst>
                              <a:ext uri="{BEBA8EAE-BF5A-486C-A8C5-ECC9F3942E4B}">
                                <a14:imgProps xmlns:a14="http://schemas.microsoft.com/office/drawing/2010/main">
                                  <a14:imgLayer r:embed="rId15">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339702" cy="648586"/>
                          </a:xfrm>
                          <a:prstGeom prst="rect">
                            <a:avLst/>
                          </a:prstGeom>
                        </pic:spPr>
                      </pic:pic>
                    </a:graphicData>
                  </a:graphic>
                </wp:inline>
              </w:drawing>
            </w:r>
          </w:p>
          <w:p>
            <w:pPr>
              <w:pStyle w:val="30"/>
              <w:spacing w:line="360" w:lineRule="auto"/>
              <w:ind w:left="119" w:right="97"/>
              <w:jc w:val="center"/>
              <w:rPr>
                <w:rFonts w:ascii="Arial" w:hAnsi="Arial" w:cs="Arial"/>
              </w:rPr>
            </w:pPr>
            <w:r>
              <w:rPr>
                <w:rFonts w:ascii="Arial" w:hAnsi="Arial" w:cs="Arial"/>
              </w:rPr>
              <w:t>AHMAD FAUZI, S.SOS, MM</w:t>
            </w:r>
          </w:p>
          <w:p>
            <w:pPr>
              <w:pStyle w:val="30"/>
              <w:spacing w:line="360" w:lineRule="auto"/>
              <w:ind w:left="119" w:right="97"/>
              <w:jc w:val="center"/>
              <w:rPr>
                <w:rFonts w:ascii="Arial" w:hAnsi="Arial" w:cs="Arial"/>
              </w:rPr>
            </w:pPr>
            <w:r>
              <w:rPr>
                <w:rFonts w:ascii="Arial" w:hAnsi="Arial" w:cs="Arial"/>
              </w:rPr>
              <w:t>NIP 196801231998031007</w:t>
            </w:r>
          </w:p>
          <w:p>
            <w:pPr>
              <w:pStyle w:val="30"/>
              <w:spacing w:before="208" w:line="360" w:lineRule="auto"/>
              <w:ind w:right="97"/>
              <w:rPr>
                <w:rFonts w:ascii="Arial" w:hAnsi="Arial" w:cs="Arial"/>
              </w:rPr>
            </w:pPr>
          </w:p>
        </w:tc>
        <w:tc>
          <w:tcPr>
            <w:tcW w:w="3614" w:type="dxa"/>
          </w:tcPr>
          <w:p>
            <w:pPr>
              <w:pStyle w:val="30"/>
              <w:spacing w:line="276" w:lineRule="auto"/>
              <w:ind w:left="470" w:right="197"/>
              <w:jc w:val="center"/>
              <w:rPr>
                <w:rFonts w:ascii="Arial" w:hAnsi="Arial" w:cs="Arial"/>
              </w:rPr>
            </w:pPr>
            <w:r>
              <w:rPr>
                <w:rFonts w:ascii="Arial" w:hAnsi="Arial" w:cs="Arial"/>
              </w:rPr>
              <w:t>Martapura,</w:t>
            </w:r>
            <w:r>
              <w:rPr>
                <w:rFonts w:ascii="Arial" w:hAnsi="Arial" w:cs="Arial"/>
                <w:spacing w:val="-5"/>
              </w:rPr>
              <w:t xml:space="preserve"> </w:t>
            </w:r>
            <w:r>
              <w:rPr>
                <w:rFonts w:ascii="Arial" w:hAnsi="Arial" w:cs="Arial"/>
              </w:rPr>
              <w:t xml:space="preserve"> 30 Maret 2023</w:t>
            </w:r>
            <w:r>
              <w:rPr>
                <w:rFonts w:ascii="Arial" w:hAnsi="Arial" w:cs="Arial"/>
                <w:spacing w:val="-58"/>
              </w:rPr>
              <w:t xml:space="preserve"> </w:t>
            </w:r>
          </w:p>
          <w:p>
            <w:pPr>
              <w:pStyle w:val="30"/>
              <w:spacing w:line="276" w:lineRule="auto"/>
              <w:ind w:left="470" w:right="197"/>
              <w:jc w:val="center"/>
              <w:rPr>
                <w:rFonts w:ascii="Arial" w:hAnsi="Arial" w:cs="Arial"/>
              </w:rPr>
            </w:pPr>
            <w:r>
              <w:rPr>
                <w:rFonts w:ascii="Arial" w:hAnsi="Arial" w:cs="Arial"/>
              </w:rPr>
              <w:t>Plt. Kepala Subbagian Perencanaan dan Keuangan</w:t>
            </w:r>
          </w:p>
          <w:p>
            <w:pPr>
              <w:pStyle w:val="30"/>
              <w:spacing w:line="276" w:lineRule="auto"/>
              <w:ind w:left="470" w:right="197"/>
              <w:jc w:val="center"/>
              <w:rPr>
                <w:rFonts w:ascii="Arial" w:hAnsi="Arial" w:cs="Arial"/>
              </w:rPr>
            </w:pPr>
            <w:r>
              <w:rPr>
                <w:rFonts w:ascii="Arial" w:hAnsi="Arial" w:cs="Arial"/>
                <w:sz w:val="24"/>
                <w:szCs w:val="24"/>
                <w:lang w:val="en-US"/>
              </w:rPr>
              <w:drawing>
                <wp:inline distT="0" distB="0" distL="0" distR="0">
                  <wp:extent cx="1796415" cy="850265"/>
                  <wp:effectExtent l="0" t="0" r="0" b="698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pic:cNvPicPr>
                        </pic:nvPicPr>
                        <pic:blipFill>
                          <a:blip r:embed="rId12" cstate="print">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801098" cy="852590"/>
                          </a:xfrm>
                          <a:prstGeom prst="rect">
                            <a:avLst/>
                          </a:prstGeom>
                        </pic:spPr>
                      </pic:pic>
                    </a:graphicData>
                  </a:graphic>
                </wp:inline>
              </w:drawing>
            </w:r>
          </w:p>
          <w:p>
            <w:pPr>
              <w:pStyle w:val="30"/>
              <w:spacing w:line="252" w:lineRule="exact"/>
              <w:ind w:left="612" w:right="309"/>
              <w:jc w:val="center"/>
              <w:rPr>
                <w:rFonts w:ascii="Arial" w:hAnsi="Arial" w:cs="Arial"/>
              </w:rPr>
            </w:pPr>
            <w:r>
              <w:rPr>
                <w:rFonts w:ascii="Arial" w:hAnsi="Arial" w:cs="Arial"/>
              </w:rPr>
              <w:t>Dewi Erliyani S.Sos</w:t>
            </w:r>
          </w:p>
          <w:p>
            <w:pPr>
              <w:pStyle w:val="30"/>
              <w:spacing w:line="252" w:lineRule="exact"/>
              <w:ind w:left="470" w:right="167"/>
              <w:jc w:val="center"/>
              <w:rPr>
                <w:rFonts w:ascii="Arial" w:hAnsi="Arial" w:cs="Arial"/>
              </w:rPr>
            </w:pPr>
            <w:r>
              <w:rPr>
                <w:rFonts w:ascii="Arial" w:hAnsi="Arial" w:cs="Arial"/>
              </w:rPr>
              <w:t>NIP 1979042119980321001</w:t>
            </w:r>
          </w:p>
        </w:tc>
      </w:tr>
    </w:tbl>
    <w:p>
      <w:pPr>
        <w:tabs>
          <w:tab w:val="left" w:pos="1557"/>
        </w:tabs>
        <w:rPr>
          <w:rFonts w:ascii="Arial" w:hAnsi="Arial" w:cs="Arial"/>
          <w:sz w:val="24"/>
          <w:szCs w:val="24"/>
          <w:lang w:val="en-US"/>
        </w:rPr>
      </w:pPr>
    </w:p>
    <w:p>
      <w:pPr>
        <w:spacing w:after="0" w:line="240" w:lineRule="auto"/>
        <w:rPr>
          <w:rFonts w:ascii="Arial" w:hAnsi="Arial" w:cs="Arial"/>
          <w:sz w:val="24"/>
          <w:szCs w:val="24"/>
          <w:lang w:val="en-US"/>
        </w:rPr>
      </w:pPr>
      <w:r>
        <w:rPr>
          <w:rFonts w:ascii="Arial" w:hAnsi="Arial" w:cs="Arial"/>
          <w:sz w:val="24"/>
          <w:szCs w:val="24"/>
          <w:lang w:val="en-US"/>
        </w:rPr>
        <w:br w:type="page"/>
      </w:r>
    </w:p>
    <w:p>
      <w:pPr>
        <w:spacing w:after="0" w:line="240" w:lineRule="auto"/>
        <w:rPr>
          <w:rFonts w:ascii="Arial" w:hAnsi="Arial" w:cs="Arial"/>
          <w:sz w:val="24"/>
          <w:szCs w:val="24"/>
          <w:lang w:val="en-US"/>
        </w:rPr>
      </w:pPr>
      <w:r>
        <w:rPr>
          <w:rFonts w:ascii="Arial" w:hAnsi="Arial" w:cs="Arial"/>
          <w:sz w:val="24"/>
          <w:szCs w:val="24"/>
          <w:lang w:val="en-US"/>
        </w:rPr>
        <w:drawing>
          <wp:inline distT="0" distB="0" distL="0" distR="0">
            <wp:extent cx="5943600" cy="8411845"/>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r>
        <w:rPr>
          <w:rFonts w:ascii="Arial" w:hAnsi="Arial" w:cs="Arial"/>
          <w:sz w:val="24"/>
          <w:szCs w:val="24"/>
          <w:lang w:val="en-US"/>
        </w:rPr>
        <w:drawing>
          <wp:inline distT="0" distB="0" distL="0" distR="0">
            <wp:extent cx="5943600" cy="8411845"/>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r>
        <w:rPr>
          <w:rFonts w:ascii="Arial" w:hAnsi="Arial" w:cs="Arial"/>
          <w:sz w:val="24"/>
          <w:szCs w:val="24"/>
          <w:lang w:val="en-US"/>
        </w:rPr>
        <w:drawing>
          <wp:inline distT="0" distB="0" distL="0" distR="0">
            <wp:extent cx="5943600" cy="8411845"/>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p>
    <w:p>
      <w:pPr>
        <w:spacing w:after="0" w:line="240" w:lineRule="auto"/>
        <w:rPr>
          <w:rFonts w:ascii="Arial" w:hAnsi="Arial" w:cs="Arial"/>
          <w:sz w:val="24"/>
          <w:szCs w:val="24"/>
          <w:lang w:val="en-US"/>
        </w:rPr>
      </w:pPr>
      <w:r>
        <w:rPr>
          <w:rFonts w:ascii="Arial" w:hAnsi="Arial" w:cs="Arial"/>
          <w:sz w:val="24"/>
          <w:szCs w:val="24"/>
          <w:lang w:val="en-US"/>
        </w:rPr>
        <w:br w:type="page"/>
      </w:r>
    </w:p>
    <w:p>
      <w:pPr>
        <w:spacing w:after="0" w:line="240" w:lineRule="auto"/>
        <w:rPr>
          <w:rFonts w:ascii="Arial" w:hAnsi="Arial" w:cs="Arial"/>
          <w:sz w:val="24"/>
          <w:szCs w:val="24"/>
          <w:lang w:val="en-US"/>
        </w:rPr>
      </w:pPr>
      <w:r>
        <w:rPr>
          <w:rFonts w:ascii="Arial" w:hAnsi="Arial" w:cs="Arial"/>
          <w:sz w:val="24"/>
          <w:szCs w:val="24"/>
          <w:lang w:val="en-US"/>
        </w:rPr>
        <w:drawing>
          <wp:inline distT="0" distB="0" distL="0" distR="0">
            <wp:extent cx="5943600" cy="8411845"/>
            <wp:effectExtent l="0" t="0" r="0"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r>
        <w:rPr>
          <w:rFonts w:ascii="Arial" w:hAnsi="Arial" w:cs="Arial"/>
          <w:sz w:val="24"/>
          <w:szCs w:val="24"/>
          <w:lang w:val="en-US"/>
        </w:rPr>
        <w:drawing>
          <wp:inline distT="0" distB="0" distL="0" distR="0">
            <wp:extent cx="5943600" cy="8411845"/>
            <wp:effectExtent l="0" t="0" r="0"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r>
        <w:rPr>
          <w:rFonts w:ascii="Arial" w:hAnsi="Arial" w:cs="Arial"/>
          <w:sz w:val="24"/>
          <w:szCs w:val="24"/>
          <w:lang w:val="en-US"/>
        </w:rPr>
        <w:drawing>
          <wp:inline distT="0" distB="0" distL="0" distR="0">
            <wp:extent cx="5943600" cy="8411845"/>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p>
    <w:p>
      <w:pPr>
        <w:spacing w:after="0" w:line="240" w:lineRule="auto"/>
        <w:rPr>
          <w:rFonts w:ascii="Arial" w:hAnsi="Arial" w:cs="Arial"/>
          <w:sz w:val="24"/>
          <w:szCs w:val="24"/>
          <w:lang w:val="en-US"/>
        </w:rPr>
      </w:pPr>
      <w:r>
        <w:rPr>
          <w:rFonts w:ascii="Arial" w:hAnsi="Arial" w:cs="Arial"/>
          <w:sz w:val="24"/>
          <w:szCs w:val="24"/>
          <w:lang w:val="en-US"/>
        </w:rPr>
        <w:br w:type="page"/>
      </w:r>
    </w:p>
    <w:p>
      <w:pPr>
        <w:rPr>
          <w:rFonts w:ascii="Arial" w:hAnsi="Arial" w:cs="Arial"/>
          <w:sz w:val="24"/>
          <w:szCs w:val="24"/>
          <w:lang w:val="en-US"/>
        </w:rPr>
      </w:pPr>
      <w:r>
        <w:rPr>
          <w:rFonts w:ascii="Arial" w:hAnsi="Arial" w:cs="Arial"/>
          <w:sz w:val="24"/>
          <w:szCs w:val="24"/>
          <w:lang w:val="en-US"/>
        </w:rPr>
        <w:drawing>
          <wp:inline distT="0" distB="0" distL="0" distR="0">
            <wp:extent cx="5943600" cy="8411845"/>
            <wp:effectExtent l="0" t="0" r="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r>
        <w:rPr>
          <w:rFonts w:ascii="Arial" w:hAnsi="Arial" w:cs="Arial"/>
          <w:sz w:val="24"/>
          <w:szCs w:val="24"/>
          <w:lang w:val="en-US"/>
        </w:rPr>
        <w:drawing>
          <wp:inline distT="0" distB="0" distL="0" distR="0">
            <wp:extent cx="5943600" cy="8411845"/>
            <wp:effectExtent l="0" t="0" r="0" b="825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r>
        <w:rPr>
          <w:rFonts w:ascii="Arial" w:hAnsi="Arial" w:cs="Arial"/>
          <w:sz w:val="24"/>
          <w:szCs w:val="24"/>
          <w:lang w:val="en-US"/>
        </w:rPr>
        <w:drawing>
          <wp:inline distT="0" distB="0" distL="0" distR="0">
            <wp:extent cx="5943600" cy="8411845"/>
            <wp:effectExtent l="0" t="0" r="0"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p>
    <w:p>
      <w:pPr>
        <w:spacing w:after="0" w:line="240" w:lineRule="auto"/>
        <w:rPr>
          <w:rFonts w:ascii="Arial" w:hAnsi="Arial" w:cs="Arial"/>
          <w:sz w:val="24"/>
          <w:szCs w:val="24"/>
          <w:lang w:val="en-US"/>
        </w:rPr>
      </w:pPr>
      <w:r>
        <w:rPr>
          <w:rFonts w:ascii="Arial" w:hAnsi="Arial" w:cs="Arial"/>
          <w:sz w:val="24"/>
          <w:szCs w:val="24"/>
          <w:lang w:val="en-US"/>
        </w:rPr>
        <w:br w:type="page"/>
      </w:r>
    </w:p>
    <w:p>
      <w:pPr>
        <w:rPr>
          <w:rFonts w:ascii="Arial" w:hAnsi="Arial" w:cs="Arial"/>
          <w:sz w:val="24"/>
          <w:szCs w:val="24"/>
          <w:lang w:val="en-US"/>
        </w:rPr>
      </w:pPr>
      <w:r>
        <w:rPr>
          <w:rFonts w:ascii="Arial" w:hAnsi="Arial" w:cs="Arial"/>
          <w:sz w:val="24"/>
          <w:szCs w:val="24"/>
          <w:lang w:val="en-US"/>
        </w:rPr>
        <w:drawing>
          <wp:inline distT="0" distB="0" distL="0" distR="0">
            <wp:extent cx="5943600" cy="8411845"/>
            <wp:effectExtent l="0" t="0" r="0" b="825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r>
        <w:rPr>
          <w:rFonts w:ascii="Arial" w:hAnsi="Arial" w:cs="Arial"/>
          <w:sz w:val="24"/>
          <w:szCs w:val="24"/>
          <w:lang w:val="en-US"/>
        </w:rPr>
        <w:drawing>
          <wp:inline distT="0" distB="0" distL="0" distR="0">
            <wp:extent cx="5943600" cy="8411845"/>
            <wp:effectExtent l="0" t="0" r="0"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r>
        <w:rPr>
          <w:rFonts w:ascii="Arial" w:hAnsi="Arial" w:cs="Arial"/>
          <w:sz w:val="24"/>
          <w:szCs w:val="24"/>
          <w:lang w:val="en-US"/>
        </w:rPr>
        <w:drawing>
          <wp:inline distT="0" distB="0" distL="0" distR="0">
            <wp:extent cx="5943600" cy="8411845"/>
            <wp:effectExtent l="0" t="0" r="0" b="825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r>
        <w:rPr>
          <w:rFonts w:ascii="Arial" w:hAnsi="Arial" w:cs="Arial"/>
          <w:sz w:val="24"/>
          <w:szCs w:val="24"/>
          <w:lang w:val="en-US"/>
        </w:rPr>
        <w:drawing>
          <wp:inline distT="0" distB="0" distL="0" distR="0">
            <wp:extent cx="5943600" cy="8411845"/>
            <wp:effectExtent l="0" t="0" r="0" b="825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943600" cy="8411845"/>
                    </a:xfrm>
                    <a:prstGeom prst="rect">
                      <a:avLst/>
                    </a:prstGeom>
                  </pic:spPr>
                </pic:pic>
              </a:graphicData>
            </a:graphic>
          </wp:inline>
        </w:drawing>
      </w:r>
    </w:p>
    <w:p>
      <w:pPr>
        <w:rPr>
          <w:rFonts w:ascii="Arial" w:hAnsi="Arial" w:cs="Arial"/>
          <w:sz w:val="24"/>
          <w:szCs w:val="24"/>
          <w:lang w:val="en-US"/>
        </w:rPr>
      </w:pPr>
    </w:p>
    <w:p>
      <w:pPr>
        <w:spacing w:after="0" w:line="240" w:lineRule="auto"/>
        <w:rPr>
          <w:rFonts w:ascii="Arial" w:hAnsi="Arial" w:cs="Arial"/>
          <w:sz w:val="24"/>
          <w:szCs w:val="24"/>
          <w:lang w:val="en-US"/>
        </w:rPr>
      </w:pPr>
      <w:r>
        <w:rPr>
          <w:rFonts w:ascii="Arial" w:hAnsi="Arial" w:cs="Arial"/>
          <w:sz w:val="24"/>
          <w:szCs w:val="24"/>
          <w:lang w:val="en-US"/>
        </w:rPr>
        <w:br w:type="page"/>
      </w:r>
    </w:p>
    <w:p>
      <w:pPr>
        <w:ind w:firstLine="720"/>
        <w:rPr>
          <w:rFonts w:ascii="Arial" w:hAnsi="Arial" w:cs="Arial"/>
          <w:sz w:val="24"/>
          <w:szCs w:val="24"/>
          <w:lang w:val="en-US"/>
        </w:rPr>
      </w:pPr>
      <w:r>
        <w:rPr>
          <w:rFonts w:ascii="Arial" w:hAnsi="Arial" w:cs="Arial"/>
          <w:sz w:val="24"/>
          <w:szCs w:val="24"/>
          <w:lang w:val="en-US"/>
        </w:rPr>
        <w:drawing>
          <wp:inline distT="0" distB="0" distL="0" distR="0">
            <wp:extent cx="5943600" cy="76917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Arial" w:hAnsi="Arial" w:cs="Arial"/>
          <w:sz w:val="24"/>
          <w:szCs w:val="24"/>
          <w:lang w:val="en-US"/>
        </w:rPr>
        <w:drawing>
          <wp:inline distT="0" distB="0" distL="0" distR="0">
            <wp:extent cx="5943600" cy="76917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Arial" w:hAnsi="Arial" w:cs="Arial"/>
          <w:sz w:val="24"/>
          <w:szCs w:val="24"/>
          <w:lang w:val="en-US"/>
        </w:rPr>
        <w:drawing>
          <wp:inline distT="0" distB="0" distL="0" distR="0">
            <wp:extent cx="5943600" cy="76917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pgSz w:w="12240" w:h="18720"/>
      <w:pgMar w:top="1440" w:right="1440" w:bottom="1440" w:left="1440"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MT">
    <w:altName w:val="Times New Roman"/>
    <w:panose1 w:val="00000000000000000000"/>
    <w:charset w:val="00"/>
    <w:family w:val="roman"/>
    <w:pitch w:val="default"/>
    <w:sig w:usb0="00000000" w:usb1="00000000" w:usb2="00000000" w:usb3="00000000" w:csb0="00000000" w:csb1="00000000"/>
  </w:font>
  <w:font w:name="Arial MT">
    <w:altName w:val="Arial"/>
    <w:panose1 w:val="00000000000000000000"/>
    <w:charset w:val="01"/>
    <w:family w:val="auto"/>
    <w:pitch w:val="default"/>
    <w:sig w:usb0="00000000" w:usb1="00000000" w:usb2="00000000" w:usb3="00000000" w:csb0="00000000" w:csb1="00000000"/>
  </w:font>
  <w:font w:name="Bookman Old Style">
    <w:panose1 w:val="02050604050505020204"/>
    <w:charset w:val="00"/>
    <w:family w:val="roman"/>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Cambria">
    <w:panose1 w:val="02040503050406030204"/>
    <w:charset w:val="00"/>
    <w:family w:val="roman"/>
    <w:pitch w:val="default"/>
    <w:sig w:usb0="E00006FF" w:usb1="420024FF" w:usb2="02000000" w:usb3="00000000" w:csb0="2000019F" w:csb1="00000000"/>
  </w:font>
  <w:font w:name="Trebuchet MS">
    <w:panose1 w:val="020B0603020202020204"/>
    <w:charset w:val="00"/>
    <w:family w:val="swiss"/>
    <w:pitch w:val="default"/>
    <w:sig w:usb0="00000687" w:usb1="00000000" w:usb2="00000000" w:usb3="00000000" w:csb0="2000009F" w:csb1="00000000"/>
  </w:font>
  <w:font w:name="Calibri Light">
    <w:panose1 w:val="020F0302020204030204"/>
    <w:charset w:val="00"/>
    <w:family w:val="swiss"/>
    <w:pitch w:val="default"/>
    <w:sig w:usb0="E4002EFF" w:usb1="C2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Century Gothic">
    <w:panose1 w:val="020B0502020202020204"/>
    <w:charset w:val="00"/>
    <w:family w:val="swiss"/>
    <w:pitch w:val="default"/>
    <w:sig w:usb0="00000287" w:usb1="000000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4FB1A1"/>
    <w:multiLevelType w:val="multilevel"/>
    <w:tmpl w:val="E04FB1A1"/>
    <w:lvl w:ilvl="0" w:tentative="0">
      <w:start w:val="1"/>
      <w:numFmt w:val="decimal"/>
      <w:lvlText w:val="%1."/>
      <w:lvlJc w:val="left"/>
      <w:pPr>
        <w:ind w:left="505" w:hanging="360"/>
      </w:pPr>
    </w:lvl>
    <w:lvl w:ilvl="1" w:tentative="0">
      <w:start w:val="1"/>
      <w:numFmt w:val="lowerLetter"/>
      <w:lvlText w:val="%2."/>
      <w:lvlJc w:val="left"/>
      <w:pPr>
        <w:ind w:left="1225" w:hanging="360"/>
      </w:pPr>
    </w:lvl>
    <w:lvl w:ilvl="2" w:tentative="0">
      <w:start w:val="1"/>
      <w:numFmt w:val="lowerRoman"/>
      <w:lvlText w:val="%3."/>
      <w:lvlJc w:val="right"/>
      <w:pPr>
        <w:ind w:left="1945" w:hanging="180"/>
      </w:pPr>
    </w:lvl>
    <w:lvl w:ilvl="3" w:tentative="0">
      <w:start w:val="1"/>
      <w:numFmt w:val="decimal"/>
      <w:lvlText w:val="%4."/>
      <w:lvlJc w:val="left"/>
      <w:pPr>
        <w:ind w:left="2665" w:hanging="360"/>
      </w:pPr>
    </w:lvl>
    <w:lvl w:ilvl="4" w:tentative="0">
      <w:start w:val="1"/>
      <w:numFmt w:val="lowerLetter"/>
      <w:lvlText w:val="%5."/>
      <w:lvlJc w:val="left"/>
      <w:pPr>
        <w:ind w:left="3385" w:hanging="360"/>
      </w:pPr>
    </w:lvl>
    <w:lvl w:ilvl="5" w:tentative="0">
      <w:start w:val="1"/>
      <w:numFmt w:val="lowerRoman"/>
      <w:lvlText w:val="%6."/>
      <w:lvlJc w:val="right"/>
      <w:pPr>
        <w:ind w:left="4105" w:hanging="180"/>
      </w:pPr>
    </w:lvl>
    <w:lvl w:ilvl="6" w:tentative="0">
      <w:start w:val="1"/>
      <w:numFmt w:val="decimal"/>
      <w:lvlText w:val="%7."/>
      <w:lvlJc w:val="left"/>
      <w:pPr>
        <w:ind w:left="4825" w:hanging="360"/>
      </w:pPr>
    </w:lvl>
    <w:lvl w:ilvl="7" w:tentative="0">
      <w:start w:val="1"/>
      <w:numFmt w:val="lowerLetter"/>
      <w:lvlText w:val="%8."/>
      <w:lvlJc w:val="left"/>
      <w:pPr>
        <w:ind w:left="5545" w:hanging="360"/>
      </w:pPr>
    </w:lvl>
    <w:lvl w:ilvl="8" w:tentative="0">
      <w:start w:val="1"/>
      <w:numFmt w:val="lowerRoman"/>
      <w:lvlText w:val="%9."/>
      <w:lvlJc w:val="right"/>
      <w:pPr>
        <w:ind w:left="6265" w:hanging="180"/>
      </w:pPr>
    </w:lvl>
  </w:abstractNum>
  <w:abstractNum w:abstractNumId="1">
    <w:nsid w:val="07CBB08C"/>
    <w:multiLevelType w:val="singleLevel"/>
    <w:tmpl w:val="07CBB08C"/>
    <w:lvl w:ilvl="0" w:tentative="0">
      <w:start w:val="1"/>
      <w:numFmt w:val="decimal"/>
      <w:suff w:val="space"/>
      <w:lvlText w:val="%1."/>
      <w:lvlJc w:val="left"/>
    </w:lvl>
  </w:abstractNum>
  <w:abstractNum w:abstractNumId="2">
    <w:nsid w:val="13C820E1"/>
    <w:multiLevelType w:val="multilevel"/>
    <w:tmpl w:val="13C820E1"/>
    <w:lvl w:ilvl="0" w:tentative="0">
      <w:start w:val="1"/>
      <w:numFmt w:val="upperRoman"/>
      <w:lvlText w:val="%1."/>
      <w:lvlJc w:val="right"/>
      <w:pPr>
        <w:ind w:left="862" w:hanging="360"/>
      </w:p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3">
    <w:nsid w:val="17B417E4"/>
    <w:multiLevelType w:val="multilevel"/>
    <w:tmpl w:val="17B417E4"/>
    <w:lvl w:ilvl="0" w:tentative="0">
      <w:start w:val="1"/>
      <w:numFmt w:val="decimal"/>
      <w:lvlText w:val="%1."/>
      <w:lvlJc w:val="left"/>
      <w:pPr>
        <w:tabs>
          <w:tab w:val="left" w:pos="510"/>
        </w:tabs>
        <w:ind w:left="510" w:hanging="510"/>
      </w:pPr>
    </w:lvl>
    <w:lvl w:ilvl="1" w:tentative="0">
      <w:start w:val="1"/>
      <w:numFmt w:val="decimal"/>
      <w:lvlText w:val="%1.%2."/>
      <w:lvlJc w:val="left"/>
      <w:pPr>
        <w:tabs>
          <w:tab w:val="left" w:pos="720"/>
        </w:tabs>
        <w:ind w:left="720" w:hanging="720"/>
      </w:pPr>
      <w:rPr>
        <w:b/>
      </w:r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1080"/>
        </w:tabs>
        <w:ind w:left="1080" w:hanging="1080"/>
      </w:pPr>
    </w:lvl>
    <w:lvl w:ilvl="4" w:tentative="0">
      <w:start w:val="1"/>
      <w:numFmt w:val="decimal"/>
      <w:lvlText w:val="%1.%2.%3.%4.%5."/>
      <w:lvlJc w:val="left"/>
      <w:pPr>
        <w:tabs>
          <w:tab w:val="left" w:pos="1440"/>
        </w:tabs>
        <w:ind w:left="1440" w:hanging="1440"/>
      </w:pPr>
    </w:lvl>
    <w:lvl w:ilvl="5" w:tentative="0">
      <w:start w:val="1"/>
      <w:numFmt w:val="decimal"/>
      <w:lvlText w:val="%1.%2.%3.%4.%5.%6."/>
      <w:lvlJc w:val="left"/>
      <w:pPr>
        <w:tabs>
          <w:tab w:val="left" w:pos="1440"/>
        </w:tabs>
        <w:ind w:left="1440" w:hanging="1440"/>
      </w:pPr>
    </w:lvl>
    <w:lvl w:ilvl="6" w:tentative="0">
      <w:start w:val="1"/>
      <w:numFmt w:val="decimal"/>
      <w:lvlText w:val="%1.%2.%3.%4.%5.%6.%7."/>
      <w:lvlJc w:val="left"/>
      <w:pPr>
        <w:tabs>
          <w:tab w:val="left" w:pos="1800"/>
        </w:tabs>
        <w:ind w:left="1800" w:hanging="1800"/>
      </w:pPr>
    </w:lvl>
    <w:lvl w:ilvl="7" w:tentative="0">
      <w:start w:val="1"/>
      <w:numFmt w:val="decimal"/>
      <w:lvlText w:val="%1.%2.%3.%4.%5.%6.%7.%8."/>
      <w:lvlJc w:val="left"/>
      <w:pPr>
        <w:tabs>
          <w:tab w:val="left" w:pos="2160"/>
        </w:tabs>
        <w:ind w:left="2160" w:hanging="2160"/>
      </w:pPr>
    </w:lvl>
    <w:lvl w:ilvl="8" w:tentative="0">
      <w:start w:val="1"/>
      <w:numFmt w:val="decimal"/>
      <w:lvlText w:val="%1.%2.%3.%4.%5.%6.%7.%8.%9."/>
      <w:lvlJc w:val="left"/>
      <w:pPr>
        <w:tabs>
          <w:tab w:val="left" w:pos="2160"/>
        </w:tabs>
        <w:ind w:left="2160" w:hanging="2160"/>
      </w:pPr>
    </w:lvl>
  </w:abstractNum>
  <w:abstractNum w:abstractNumId="4">
    <w:nsid w:val="1A1E2462"/>
    <w:multiLevelType w:val="multilevel"/>
    <w:tmpl w:val="1A1E246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22353C1"/>
    <w:multiLevelType w:val="multilevel"/>
    <w:tmpl w:val="222353C1"/>
    <w:lvl w:ilvl="0" w:tentative="0">
      <w:start w:val="1"/>
      <w:numFmt w:val="decimal"/>
      <w:lvlText w:val="%1."/>
      <w:lvlJc w:val="left"/>
      <w:pPr>
        <w:ind w:left="1494" w:hanging="360"/>
      </w:pPr>
      <w:rPr>
        <w:rFonts w:hint="default" w:ascii="Arial" w:hAnsi="Arial"/>
        <w:color w:val="auto"/>
        <w:sz w:val="24"/>
      </w:rPr>
    </w:lvl>
    <w:lvl w:ilvl="1" w:tentative="0">
      <w:start w:val="1"/>
      <w:numFmt w:val="lowerLetter"/>
      <w:lvlText w:val="%2."/>
      <w:lvlJc w:val="left"/>
      <w:pPr>
        <w:ind w:left="2214" w:hanging="360"/>
      </w:pPr>
    </w:lvl>
    <w:lvl w:ilvl="2" w:tentative="0">
      <w:start w:val="1"/>
      <w:numFmt w:val="lowerRoman"/>
      <w:lvlText w:val="%3."/>
      <w:lvlJc w:val="right"/>
      <w:pPr>
        <w:ind w:left="2934" w:hanging="180"/>
      </w:pPr>
    </w:lvl>
    <w:lvl w:ilvl="3" w:tentative="0">
      <w:start w:val="1"/>
      <w:numFmt w:val="decimal"/>
      <w:lvlText w:val="%4."/>
      <w:lvlJc w:val="left"/>
      <w:pPr>
        <w:ind w:left="3654" w:hanging="360"/>
      </w:pPr>
    </w:lvl>
    <w:lvl w:ilvl="4" w:tentative="0">
      <w:start w:val="1"/>
      <w:numFmt w:val="lowerLetter"/>
      <w:lvlText w:val="%5."/>
      <w:lvlJc w:val="left"/>
      <w:pPr>
        <w:ind w:left="4374" w:hanging="360"/>
      </w:p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abstractNum w:abstractNumId="6">
    <w:nsid w:val="22BD739D"/>
    <w:multiLevelType w:val="multilevel"/>
    <w:tmpl w:val="22BD739D"/>
    <w:lvl w:ilvl="0" w:tentative="0">
      <w:start w:val="4"/>
      <w:numFmt w:val="decimal"/>
      <w:lvlText w:val="%1."/>
      <w:lvlJc w:val="left"/>
      <w:pPr>
        <w:ind w:left="1494" w:hanging="360"/>
      </w:pPr>
      <w:rPr>
        <w:rFonts w:hint="default"/>
        <w:b/>
        <w:bCs w:val="0"/>
        <w:color w:val="auto"/>
      </w:rPr>
    </w:lvl>
    <w:lvl w:ilvl="1" w:tentative="0">
      <w:start w:val="1"/>
      <w:numFmt w:val="lowerLetter"/>
      <w:lvlText w:val="%2."/>
      <w:lvlJc w:val="left"/>
      <w:pPr>
        <w:ind w:left="2214" w:hanging="360"/>
      </w:pPr>
    </w:lvl>
    <w:lvl w:ilvl="2" w:tentative="0">
      <w:start w:val="1"/>
      <w:numFmt w:val="bullet"/>
      <w:lvlText w:val=""/>
      <w:lvlJc w:val="left"/>
      <w:pPr>
        <w:ind w:left="2934" w:hanging="180"/>
      </w:pPr>
      <w:rPr>
        <w:rFonts w:hint="default" w:ascii="Symbol" w:hAnsi="Symbol"/>
      </w:rPr>
    </w:lvl>
    <w:lvl w:ilvl="3" w:tentative="0">
      <w:start w:val="1"/>
      <w:numFmt w:val="decimal"/>
      <w:lvlText w:val="%4)"/>
      <w:lvlJc w:val="left"/>
      <w:pPr>
        <w:ind w:left="3654" w:hanging="360"/>
      </w:pPr>
      <w:rPr>
        <w:rFonts w:hint="default"/>
      </w:rPr>
    </w:lvl>
    <w:lvl w:ilvl="4" w:tentative="0">
      <w:start w:val="1"/>
      <w:numFmt w:val="lowerLetter"/>
      <w:lvlText w:val="%5."/>
      <w:lvlJc w:val="left"/>
      <w:pPr>
        <w:ind w:left="4374" w:hanging="360"/>
      </w:p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abstractNum w:abstractNumId="7">
    <w:nsid w:val="29AC756C"/>
    <w:multiLevelType w:val="multilevel"/>
    <w:tmpl w:val="29AC756C"/>
    <w:lvl w:ilvl="0" w:tentative="0">
      <w:start w:val="1"/>
      <w:numFmt w:val="decimal"/>
      <w:lvlText w:val="%1"/>
      <w:lvlJc w:val="left"/>
      <w:pPr>
        <w:ind w:left="360" w:hanging="360"/>
      </w:pPr>
      <w:rPr>
        <w:rFonts w:hint="default"/>
      </w:rPr>
    </w:lvl>
    <w:lvl w:ilvl="1" w:tentative="0">
      <w:start w:val="1"/>
      <w:numFmt w:val="decimal"/>
      <w:lvlText w:val="%1.%2"/>
      <w:lvlJc w:val="left"/>
      <w:pPr>
        <w:ind w:left="72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2160" w:hanging="108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3240" w:hanging="144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4320" w:hanging="1800"/>
      </w:pPr>
      <w:rPr>
        <w:rFonts w:hint="default"/>
      </w:rPr>
    </w:lvl>
    <w:lvl w:ilvl="8" w:tentative="0">
      <w:start w:val="1"/>
      <w:numFmt w:val="decimal"/>
      <w:lvlText w:val="%1.%2.%3.%4.%5.%6.%7.%8.%9"/>
      <w:lvlJc w:val="left"/>
      <w:pPr>
        <w:ind w:left="4680" w:hanging="1800"/>
      </w:pPr>
      <w:rPr>
        <w:rFonts w:hint="default"/>
      </w:rPr>
    </w:lvl>
  </w:abstractNum>
  <w:abstractNum w:abstractNumId="8">
    <w:nsid w:val="2D5B23D1"/>
    <w:multiLevelType w:val="singleLevel"/>
    <w:tmpl w:val="2D5B23D1"/>
    <w:lvl w:ilvl="0" w:tentative="0">
      <w:start w:val="1"/>
      <w:numFmt w:val="decimal"/>
      <w:lvlText w:val="%1."/>
      <w:lvlJc w:val="left"/>
      <w:pPr>
        <w:tabs>
          <w:tab w:val="left" w:pos="425"/>
        </w:tabs>
        <w:ind w:left="425" w:leftChars="0" w:hanging="425" w:firstLineChars="0"/>
      </w:pPr>
      <w:rPr>
        <w:rFonts w:hint="default"/>
      </w:rPr>
    </w:lvl>
  </w:abstractNum>
  <w:abstractNum w:abstractNumId="9">
    <w:nsid w:val="30294977"/>
    <w:multiLevelType w:val="multilevel"/>
    <w:tmpl w:val="30294977"/>
    <w:lvl w:ilvl="0" w:tentative="0">
      <w:start w:val="1"/>
      <w:numFmt w:val="decimal"/>
      <w:lvlText w:val="%1."/>
      <w:lvlJc w:val="left"/>
      <w:pPr>
        <w:ind w:left="720" w:hanging="360"/>
      </w:pPr>
      <w:rPr>
        <w:rFonts w:ascii="Arial" w:hAnsi="Arial" w:eastAsia="Calibri" w:cs="Arial"/>
      </w:rPr>
    </w:lvl>
    <w:lvl w:ilvl="1" w:tentative="0">
      <w:start w:val="1"/>
      <w:numFmt w:val="lowerLetter"/>
      <w:lvlText w:val="%2."/>
      <w:lvlJc w:val="left"/>
      <w:pPr>
        <w:ind w:left="1440" w:hanging="360"/>
      </w:pPr>
    </w:lvl>
    <w:lvl w:ilvl="2" w:tentative="0">
      <w:start w:val="1"/>
      <w:numFmt w:val="decimal"/>
      <w:lvlText w:val="%3."/>
      <w:lvlJc w:val="left"/>
      <w:pPr>
        <w:ind w:left="2340" w:hanging="360"/>
      </w:pPr>
      <w:rPr>
        <w:rFonts w:hint="default"/>
      </w:rPr>
    </w:lvl>
    <w:lvl w:ilvl="3" w:tentative="0">
      <w:start w:val="5"/>
      <w:numFmt w:val="decimal"/>
      <w:lvlText w:val="%4)"/>
      <w:lvlJc w:val="left"/>
      <w:pPr>
        <w:ind w:left="644" w:hanging="360"/>
      </w:pPr>
      <w:rPr>
        <w:rFonts w:hint="default"/>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33451BDB"/>
    <w:multiLevelType w:val="multilevel"/>
    <w:tmpl w:val="33451BDB"/>
    <w:lvl w:ilvl="0" w:tentative="0">
      <w:start w:val="1"/>
      <w:numFmt w:val="lowerLetter"/>
      <w:lvlText w:val="%1)"/>
      <w:lvlJc w:val="left"/>
      <w:pPr>
        <w:ind w:left="1080" w:hanging="360"/>
      </w:pPr>
      <w:rPr>
        <w:rFonts w:hint="default"/>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1">
    <w:nsid w:val="385E33BB"/>
    <w:multiLevelType w:val="multilevel"/>
    <w:tmpl w:val="385E33BB"/>
    <w:lvl w:ilvl="0" w:tentative="0">
      <w:start w:val="1"/>
      <w:numFmt w:val="upperLetter"/>
      <w:lvlText w:val="%1."/>
      <w:lvlJc w:val="left"/>
      <w:pPr>
        <w:ind w:left="1146" w:hanging="360"/>
      </w:pPr>
    </w:lvl>
    <w:lvl w:ilvl="1" w:tentative="0">
      <w:start w:val="1"/>
      <w:numFmt w:val="lowerLetter"/>
      <w:lvlText w:val="%2."/>
      <w:lvlJc w:val="left"/>
      <w:pPr>
        <w:ind w:left="1893" w:hanging="360"/>
      </w:pPr>
    </w:lvl>
    <w:lvl w:ilvl="2" w:tentative="0">
      <w:start w:val="3"/>
      <w:numFmt w:val="bullet"/>
      <w:lvlText w:val="-"/>
      <w:lvlJc w:val="left"/>
      <w:pPr>
        <w:ind w:left="2766" w:hanging="360"/>
      </w:pPr>
      <w:rPr>
        <w:rFonts w:hint="default" w:ascii="Arial" w:hAnsi="Arial" w:eastAsia="Calibri" w:cs="Arial"/>
      </w:r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12">
    <w:nsid w:val="39FA5FA7"/>
    <w:multiLevelType w:val="multilevel"/>
    <w:tmpl w:val="39FA5FA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45146231"/>
    <w:multiLevelType w:val="multilevel"/>
    <w:tmpl w:val="45146231"/>
    <w:lvl w:ilvl="0" w:tentative="0">
      <w:start w:val="4"/>
      <w:numFmt w:val="decimal"/>
      <w:lvlText w:val="%1."/>
      <w:lvlJc w:val="left"/>
      <w:pPr>
        <w:ind w:left="1494" w:hanging="360"/>
      </w:pPr>
      <w:rPr>
        <w:rFonts w:hint="default"/>
        <w:color w:val="0070C0"/>
      </w:rPr>
    </w:lvl>
    <w:lvl w:ilvl="1" w:tentative="0">
      <w:start w:val="1"/>
      <w:numFmt w:val="lowerLetter"/>
      <w:lvlText w:val="%2."/>
      <w:lvlJc w:val="left"/>
      <w:pPr>
        <w:ind w:left="2214" w:hanging="360"/>
      </w:pPr>
    </w:lvl>
    <w:lvl w:ilvl="2" w:tentative="0">
      <w:start w:val="1"/>
      <w:numFmt w:val="lowerRoman"/>
      <w:lvlText w:val="%3."/>
      <w:lvlJc w:val="right"/>
      <w:pPr>
        <w:ind w:left="2934" w:hanging="180"/>
      </w:pPr>
    </w:lvl>
    <w:lvl w:ilvl="3" w:tentative="0">
      <w:start w:val="1"/>
      <w:numFmt w:val="decimal"/>
      <w:lvlText w:val="%4.)"/>
      <w:lvlJc w:val="left"/>
      <w:pPr>
        <w:ind w:left="1211" w:hanging="360"/>
      </w:pPr>
      <w:rPr>
        <w:rFonts w:hint="default" w:ascii="Bookman Old Style" w:hAnsi="Bookman Old Style"/>
        <w:b w:val="0"/>
        <w:bCs w:val="0"/>
        <w:color w:val="auto"/>
        <w:sz w:val="24"/>
        <w:szCs w:val="24"/>
      </w:rPr>
    </w:lvl>
    <w:lvl w:ilvl="4" w:tentative="0">
      <w:start w:val="1"/>
      <w:numFmt w:val="decimal"/>
      <w:lvlText w:val="%5."/>
      <w:lvlJc w:val="left"/>
      <w:pPr>
        <w:ind w:left="4374" w:hanging="360"/>
      </w:pPr>
      <w:rPr>
        <w:b w:val="0"/>
        <w:bCs/>
        <w:i w:val="0"/>
        <w:iCs w:val="0"/>
      </w:r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abstractNum w:abstractNumId="14">
    <w:nsid w:val="4DDA585A"/>
    <w:multiLevelType w:val="multilevel"/>
    <w:tmpl w:val="4DDA585A"/>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5">
    <w:nsid w:val="517965F5"/>
    <w:multiLevelType w:val="multilevel"/>
    <w:tmpl w:val="517965F5"/>
    <w:lvl w:ilvl="0" w:tentative="0">
      <w:start w:val="0"/>
      <w:numFmt w:val="bullet"/>
      <w:lvlText w:val=""/>
      <w:lvlJc w:val="left"/>
      <w:pPr>
        <w:ind w:left="720" w:hanging="360"/>
      </w:pPr>
      <w:rPr>
        <w:rFonts w:hint="default" w:ascii="Arial" w:hAnsi="Arial" w:eastAsia="Times New Roman"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53CA23B8"/>
    <w:multiLevelType w:val="multilevel"/>
    <w:tmpl w:val="53CA23B8"/>
    <w:lvl w:ilvl="0" w:tentative="0">
      <w:start w:val="2"/>
      <w:numFmt w:val="bullet"/>
      <w:lvlText w:val="-"/>
      <w:lvlJc w:val="left"/>
      <w:pPr>
        <w:ind w:left="720" w:hanging="360"/>
      </w:pPr>
      <w:rPr>
        <w:rFonts w:hint="default" w:ascii="Arial" w:hAnsi="Arial" w:eastAsia="Times New Roman"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59DF7DAA"/>
    <w:multiLevelType w:val="multilevel"/>
    <w:tmpl w:val="59DF7DAA"/>
    <w:lvl w:ilvl="0" w:tentative="0">
      <w:start w:val="3"/>
      <w:numFmt w:val="decimal"/>
      <w:lvlText w:val="%1"/>
      <w:lvlJc w:val="left"/>
      <w:pPr>
        <w:ind w:left="360" w:hanging="360"/>
      </w:pPr>
      <w:rPr>
        <w:rFonts w:hint="default"/>
      </w:rPr>
    </w:lvl>
    <w:lvl w:ilvl="1" w:tentative="0">
      <w:start w:val="1"/>
      <w:numFmt w:val="decimal"/>
      <w:lvlText w:val="%1.%2"/>
      <w:lvlJc w:val="left"/>
      <w:pPr>
        <w:ind w:left="502" w:hanging="360"/>
      </w:pPr>
      <w:rPr>
        <w:rFonts w:hint="default"/>
        <w:color w:val="auto"/>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abstractNum w:abstractNumId="18">
    <w:nsid w:val="71146B49"/>
    <w:multiLevelType w:val="multilevel"/>
    <w:tmpl w:val="71146B49"/>
    <w:lvl w:ilvl="0" w:tentative="0">
      <w:start w:val="1"/>
      <w:numFmt w:val="decimal"/>
      <w:lvlText w:val="%1."/>
      <w:lvlJc w:val="left"/>
      <w:pPr>
        <w:ind w:left="1800" w:hanging="360"/>
      </w:pPr>
    </w:lvl>
    <w:lvl w:ilvl="1" w:tentative="0">
      <w:start w:val="1"/>
      <w:numFmt w:val="upperLetter"/>
      <w:lvlText w:val="%2."/>
      <w:lvlJc w:val="left"/>
      <w:pPr>
        <w:ind w:left="2535" w:hanging="375"/>
      </w:pPr>
      <w:rPr>
        <w:rFonts w:hint="default"/>
      </w:r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19">
    <w:nsid w:val="734333A2"/>
    <w:multiLevelType w:val="multilevel"/>
    <w:tmpl w:val="734333A2"/>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20">
    <w:nsid w:val="74455ACA"/>
    <w:multiLevelType w:val="multilevel"/>
    <w:tmpl w:val="74455ACA"/>
    <w:lvl w:ilvl="0" w:tentative="0">
      <w:start w:val="1"/>
      <w:numFmt w:val="decimal"/>
      <w:lvlText w:val="%1."/>
      <w:lvlJc w:val="left"/>
      <w:pPr>
        <w:ind w:left="1080" w:hanging="360"/>
      </w:pPr>
      <w:rPr>
        <w:rFonts w:hint="default"/>
      </w:rPr>
    </w:lvl>
    <w:lvl w:ilvl="1" w:tentative="0">
      <w:start w:val="3"/>
      <w:numFmt w:val="decimal"/>
      <w:isLgl/>
      <w:lvlText w:val="%1.%2"/>
      <w:lvlJc w:val="left"/>
      <w:pPr>
        <w:ind w:left="1125" w:hanging="405"/>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800" w:hanging="1080"/>
      </w:pPr>
      <w:rPr>
        <w:rFonts w:hint="default"/>
      </w:rPr>
    </w:lvl>
    <w:lvl w:ilvl="4" w:tentative="0">
      <w:start w:val="1"/>
      <w:numFmt w:val="decimal"/>
      <w:isLgl/>
      <w:lvlText w:val="%1.%2.%3.%4.%5"/>
      <w:lvlJc w:val="left"/>
      <w:pPr>
        <w:ind w:left="1800" w:hanging="1080"/>
      </w:pPr>
      <w:rPr>
        <w:rFonts w:hint="default"/>
      </w:rPr>
    </w:lvl>
    <w:lvl w:ilvl="5" w:tentative="0">
      <w:start w:val="1"/>
      <w:numFmt w:val="decimal"/>
      <w:isLgl/>
      <w:lvlText w:val="%1.%2.%3.%4.%5.%6"/>
      <w:lvlJc w:val="left"/>
      <w:pPr>
        <w:ind w:left="2160" w:hanging="1440"/>
      </w:pPr>
      <w:rPr>
        <w:rFonts w:hint="default"/>
      </w:rPr>
    </w:lvl>
    <w:lvl w:ilvl="6" w:tentative="0">
      <w:start w:val="1"/>
      <w:numFmt w:val="decimal"/>
      <w:isLgl/>
      <w:lvlText w:val="%1.%2.%3.%4.%5.%6.%7"/>
      <w:lvlJc w:val="left"/>
      <w:pPr>
        <w:ind w:left="2160" w:hanging="1440"/>
      </w:pPr>
      <w:rPr>
        <w:rFonts w:hint="default"/>
      </w:rPr>
    </w:lvl>
    <w:lvl w:ilvl="7" w:tentative="0">
      <w:start w:val="1"/>
      <w:numFmt w:val="decimal"/>
      <w:isLgl/>
      <w:lvlText w:val="%1.%2.%3.%4.%5.%6.%7.%8"/>
      <w:lvlJc w:val="left"/>
      <w:pPr>
        <w:ind w:left="2520" w:hanging="1800"/>
      </w:pPr>
      <w:rPr>
        <w:rFonts w:hint="default"/>
      </w:rPr>
    </w:lvl>
    <w:lvl w:ilvl="8" w:tentative="0">
      <w:start w:val="1"/>
      <w:numFmt w:val="decimal"/>
      <w:isLgl/>
      <w:lvlText w:val="%1.%2.%3.%4.%5.%6.%7.%8.%9"/>
      <w:lvlJc w:val="left"/>
      <w:pPr>
        <w:ind w:left="2520" w:hanging="1800"/>
      </w:pPr>
      <w:rPr>
        <w:rFonts w:hint="default"/>
      </w:rPr>
    </w:lvl>
  </w:abstractNum>
  <w:num w:numId="1">
    <w:abstractNumId w:val="7"/>
  </w:num>
  <w:num w:numId="2">
    <w:abstractNumId w:val="13"/>
  </w:num>
  <w:num w:numId="3">
    <w:abstractNumId w:val="19"/>
  </w:num>
  <w:num w:numId="4">
    <w:abstractNumId w:val="15"/>
  </w:num>
  <w:num w:numId="5">
    <w:abstractNumId w:val="20"/>
  </w:num>
  <w:num w:numId="6">
    <w:abstractNumId w:val="14"/>
  </w:num>
  <w:num w:numId="7">
    <w:abstractNumId w:val="6"/>
  </w:num>
  <w:num w:numId="8">
    <w:abstractNumId w:val="12"/>
  </w:num>
  <w:num w:numId="9">
    <w:abstractNumId w:val="18"/>
  </w:num>
  <w:num w:numId="10">
    <w:abstractNumId w:val="0"/>
  </w:num>
  <w:num w:numId="11">
    <w:abstractNumId w:val="9"/>
  </w:num>
  <w:num w:numId="12">
    <w:abstractNumId w:val="5"/>
  </w:num>
  <w:num w:numId="13">
    <w:abstractNumId w:val="17"/>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8"/>
  </w:num>
  <w:num w:numId="17">
    <w:abstractNumId w:val="4"/>
  </w:num>
  <w:num w:numId="18">
    <w:abstractNumId w:val="1"/>
  </w:num>
  <w:num w:numId="19">
    <w:abstractNumId w:val="2"/>
  </w:num>
  <w:num w:numId="20">
    <w:abstractNumId w:val="1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hideSpellingErrors/>
  <w:documentProtection w:enforcement="0"/>
  <w:defaultTabStop w:val="720"/>
  <w:characterSpacingControl w:val="doNotCompress"/>
  <w:footnotePr>
    <w:footnote w:id="0"/>
    <w:footnote w:id="1"/>
  </w:footnotePr>
  <w:endnotePr>
    <w:endnote w:id="0"/>
    <w:endnote w:id="1"/>
  </w:endnotePr>
  <w:compat>
    <w:doNotExpandShiftReturn/>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0A8"/>
    <w:rsid w:val="00010323"/>
    <w:rsid w:val="00024CC9"/>
    <w:rsid w:val="00041AD6"/>
    <w:rsid w:val="000619D6"/>
    <w:rsid w:val="00085B1C"/>
    <w:rsid w:val="00087CC2"/>
    <w:rsid w:val="000B0E5F"/>
    <w:rsid w:val="000B1C09"/>
    <w:rsid w:val="000B55BB"/>
    <w:rsid w:val="000B5BD3"/>
    <w:rsid w:val="000C3A73"/>
    <w:rsid w:val="000D20EF"/>
    <w:rsid w:val="000E21A0"/>
    <w:rsid w:val="000E60A8"/>
    <w:rsid w:val="000F385A"/>
    <w:rsid w:val="000F6EC7"/>
    <w:rsid w:val="00121DA0"/>
    <w:rsid w:val="001233BD"/>
    <w:rsid w:val="00124DBE"/>
    <w:rsid w:val="00126031"/>
    <w:rsid w:val="00143E2E"/>
    <w:rsid w:val="00144C71"/>
    <w:rsid w:val="001C51D8"/>
    <w:rsid w:val="001D2269"/>
    <w:rsid w:val="001F1E11"/>
    <w:rsid w:val="001F54EA"/>
    <w:rsid w:val="00201908"/>
    <w:rsid w:val="00202450"/>
    <w:rsid w:val="00214AA8"/>
    <w:rsid w:val="00222BA9"/>
    <w:rsid w:val="00224404"/>
    <w:rsid w:val="00230962"/>
    <w:rsid w:val="00231BD2"/>
    <w:rsid w:val="00232388"/>
    <w:rsid w:val="00242BDB"/>
    <w:rsid w:val="0024442E"/>
    <w:rsid w:val="00244EC9"/>
    <w:rsid w:val="00264484"/>
    <w:rsid w:val="00266720"/>
    <w:rsid w:val="0027524D"/>
    <w:rsid w:val="002763B7"/>
    <w:rsid w:val="00285F5A"/>
    <w:rsid w:val="00297E30"/>
    <w:rsid w:val="002A5F98"/>
    <w:rsid w:val="002B421F"/>
    <w:rsid w:val="002D11B8"/>
    <w:rsid w:val="002D3B5B"/>
    <w:rsid w:val="002F324F"/>
    <w:rsid w:val="002F581E"/>
    <w:rsid w:val="00304AC2"/>
    <w:rsid w:val="00330FDA"/>
    <w:rsid w:val="00336198"/>
    <w:rsid w:val="00342F9B"/>
    <w:rsid w:val="003468DF"/>
    <w:rsid w:val="00350B8F"/>
    <w:rsid w:val="0037149D"/>
    <w:rsid w:val="00375295"/>
    <w:rsid w:val="003804FF"/>
    <w:rsid w:val="00382849"/>
    <w:rsid w:val="00391F35"/>
    <w:rsid w:val="00392C2D"/>
    <w:rsid w:val="003A651D"/>
    <w:rsid w:val="003C2C8C"/>
    <w:rsid w:val="003E7DA9"/>
    <w:rsid w:val="003F332C"/>
    <w:rsid w:val="004033E9"/>
    <w:rsid w:val="0040625D"/>
    <w:rsid w:val="00426D64"/>
    <w:rsid w:val="00432FC5"/>
    <w:rsid w:val="00435490"/>
    <w:rsid w:val="004408FB"/>
    <w:rsid w:val="00443555"/>
    <w:rsid w:val="00481D24"/>
    <w:rsid w:val="00493B3E"/>
    <w:rsid w:val="004A3B15"/>
    <w:rsid w:val="004B61F0"/>
    <w:rsid w:val="004B697B"/>
    <w:rsid w:val="004C0781"/>
    <w:rsid w:val="004C1764"/>
    <w:rsid w:val="004D4924"/>
    <w:rsid w:val="005031CD"/>
    <w:rsid w:val="00506BAB"/>
    <w:rsid w:val="00543BE1"/>
    <w:rsid w:val="00556E98"/>
    <w:rsid w:val="00570041"/>
    <w:rsid w:val="005732BD"/>
    <w:rsid w:val="00573A43"/>
    <w:rsid w:val="005773D3"/>
    <w:rsid w:val="00580322"/>
    <w:rsid w:val="00584C99"/>
    <w:rsid w:val="005B5FD7"/>
    <w:rsid w:val="005B798E"/>
    <w:rsid w:val="005C7F89"/>
    <w:rsid w:val="005D5AFD"/>
    <w:rsid w:val="005E086C"/>
    <w:rsid w:val="005E15AE"/>
    <w:rsid w:val="005E70BB"/>
    <w:rsid w:val="005F614C"/>
    <w:rsid w:val="006051BC"/>
    <w:rsid w:val="006208CF"/>
    <w:rsid w:val="00624BFE"/>
    <w:rsid w:val="00647295"/>
    <w:rsid w:val="006611E0"/>
    <w:rsid w:val="00683BA3"/>
    <w:rsid w:val="00683E7C"/>
    <w:rsid w:val="00693CD5"/>
    <w:rsid w:val="006B2746"/>
    <w:rsid w:val="006B5AE8"/>
    <w:rsid w:val="006C29E8"/>
    <w:rsid w:val="006C6290"/>
    <w:rsid w:val="006D0B28"/>
    <w:rsid w:val="006F6A71"/>
    <w:rsid w:val="00705BC5"/>
    <w:rsid w:val="00707670"/>
    <w:rsid w:val="0072483A"/>
    <w:rsid w:val="00730DAA"/>
    <w:rsid w:val="00740AB7"/>
    <w:rsid w:val="0074737A"/>
    <w:rsid w:val="00753564"/>
    <w:rsid w:val="007539FC"/>
    <w:rsid w:val="00757BE4"/>
    <w:rsid w:val="0076149D"/>
    <w:rsid w:val="0077669C"/>
    <w:rsid w:val="00776B42"/>
    <w:rsid w:val="007B6E01"/>
    <w:rsid w:val="007C24FD"/>
    <w:rsid w:val="007C757F"/>
    <w:rsid w:val="007E1441"/>
    <w:rsid w:val="007E3FE1"/>
    <w:rsid w:val="007F5FC8"/>
    <w:rsid w:val="007F68D1"/>
    <w:rsid w:val="00804313"/>
    <w:rsid w:val="008139A4"/>
    <w:rsid w:val="008709B6"/>
    <w:rsid w:val="0087300A"/>
    <w:rsid w:val="0088740C"/>
    <w:rsid w:val="00887A96"/>
    <w:rsid w:val="008A243A"/>
    <w:rsid w:val="008A6E3B"/>
    <w:rsid w:val="008B4537"/>
    <w:rsid w:val="008B4753"/>
    <w:rsid w:val="008C1683"/>
    <w:rsid w:val="008E1582"/>
    <w:rsid w:val="008E737F"/>
    <w:rsid w:val="009068EA"/>
    <w:rsid w:val="00935626"/>
    <w:rsid w:val="0094270D"/>
    <w:rsid w:val="00945AC7"/>
    <w:rsid w:val="009516C5"/>
    <w:rsid w:val="00961D47"/>
    <w:rsid w:val="00965B01"/>
    <w:rsid w:val="00981544"/>
    <w:rsid w:val="00981D2E"/>
    <w:rsid w:val="009848D5"/>
    <w:rsid w:val="009D09F2"/>
    <w:rsid w:val="009D4E08"/>
    <w:rsid w:val="009D7D4F"/>
    <w:rsid w:val="009E37B2"/>
    <w:rsid w:val="009F6E9F"/>
    <w:rsid w:val="00A016F3"/>
    <w:rsid w:val="00A078FA"/>
    <w:rsid w:val="00A16EC4"/>
    <w:rsid w:val="00A23101"/>
    <w:rsid w:val="00A25650"/>
    <w:rsid w:val="00A57DF2"/>
    <w:rsid w:val="00A70F75"/>
    <w:rsid w:val="00AB559F"/>
    <w:rsid w:val="00AB7C62"/>
    <w:rsid w:val="00AB7CAB"/>
    <w:rsid w:val="00AC16D4"/>
    <w:rsid w:val="00AC6EF1"/>
    <w:rsid w:val="00AE6E3F"/>
    <w:rsid w:val="00AE7D86"/>
    <w:rsid w:val="00AF66B4"/>
    <w:rsid w:val="00B00681"/>
    <w:rsid w:val="00B07674"/>
    <w:rsid w:val="00B1286C"/>
    <w:rsid w:val="00B1500D"/>
    <w:rsid w:val="00B153D8"/>
    <w:rsid w:val="00B25FAB"/>
    <w:rsid w:val="00B36A17"/>
    <w:rsid w:val="00B4701C"/>
    <w:rsid w:val="00B51085"/>
    <w:rsid w:val="00B70817"/>
    <w:rsid w:val="00B77AD9"/>
    <w:rsid w:val="00BA1B5A"/>
    <w:rsid w:val="00BB4B4F"/>
    <w:rsid w:val="00BC046B"/>
    <w:rsid w:val="00BC342E"/>
    <w:rsid w:val="00BC3A06"/>
    <w:rsid w:val="00BD18FC"/>
    <w:rsid w:val="00BE37FC"/>
    <w:rsid w:val="00BE7DFD"/>
    <w:rsid w:val="00C06070"/>
    <w:rsid w:val="00C2547C"/>
    <w:rsid w:val="00C363DB"/>
    <w:rsid w:val="00C53EF4"/>
    <w:rsid w:val="00C66F15"/>
    <w:rsid w:val="00C967A7"/>
    <w:rsid w:val="00CA26F7"/>
    <w:rsid w:val="00CA381F"/>
    <w:rsid w:val="00CA4363"/>
    <w:rsid w:val="00CB2A14"/>
    <w:rsid w:val="00CB6897"/>
    <w:rsid w:val="00CC6538"/>
    <w:rsid w:val="00CD6063"/>
    <w:rsid w:val="00CE6128"/>
    <w:rsid w:val="00D111C5"/>
    <w:rsid w:val="00D11494"/>
    <w:rsid w:val="00D210D5"/>
    <w:rsid w:val="00D26B2A"/>
    <w:rsid w:val="00D35C00"/>
    <w:rsid w:val="00D42CD3"/>
    <w:rsid w:val="00D6407C"/>
    <w:rsid w:val="00D65E0F"/>
    <w:rsid w:val="00D66734"/>
    <w:rsid w:val="00D74630"/>
    <w:rsid w:val="00D837F0"/>
    <w:rsid w:val="00D85DE3"/>
    <w:rsid w:val="00DA79F5"/>
    <w:rsid w:val="00DB7E5E"/>
    <w:rsid w:val="00DC0542"/>
    <w:rsid w:val="00DD1D67"/>
    <w:rsid w:val="00DD739F"/>
    <w:rsid w:val="00E122C8"/>
    <w:rsid w:val="00E1254C"/>
    <w:rsid w:val="00E1509F"/>
    <w:rsid w:val="00E448FA"/>
    <w:rsid w:val="00E5323C"/>
    <w:rsid w:val="00E53502"/>
    <w:rsid w:val="00E5396A"/>
    <w:rsid w:val="00E70CD7"/>
    <w:rsid w:val="00E82DFC"/>
    <w:rsid w:val="00E8494D"/>
    <w:rsid w:val="00E8684D"/>
    <w:rsid w:val="00E975AD"/>
    <w:rsid w:val="00E97C6B"/>
    <w:rsid w:val="00EA0407"/>
    <w:rsid w:val="00EB5E50"/>
    <w:rsid w:val="00ED0284"/>
    <w:rsid w:val="00ED2030"/>
    <w:rsid w:val="00ED5B3F"/>
    <w:rsid w:val="00EF01B6"/>
    <w:rsid w:val="00F050BF"/>
    <w:rsid w:val="00F07B02"/>
    <w:rsid w:val="00F27092"/>
    <w:rsid w:val="00F353C8"/>
    <w:rsid w:val="00F40208"/>
    <w:rsid w:val="00F41A80"/>
    <w:rsid w:val="00F60861"/>
    <w:rsid w:val="00F733F7"/>
    <w:rsid w:val="00F76420"/>
    <w:rsid w:val="00F97DBF"/>
    <w:rsid w:val="00FA08B8"/>
    <w:rsid w:val="00FA180F"/>
    <w:rsid w:val="00FA4F39"/>
    <w:rsid w:val="00FB71D2"/>
    <w:rsid w:val="00FB776D"/>
    <w:rsid w:val="00FC441B"/>
    <w:rsid w:val="00FE7210"/>
    <w:rsid w:val="13203695"/>
    <w:rsid w:val="22AB2D2D"/>
    <w:rsid w:val="25191F49"/>
    <w:rsid w:val="2A53674E"/>
    <w:rsid w:val="4C1D72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heme="minorEastAsia"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0" w:semiHidden="0" w:name="Body Text Indent 2"/>
    <w:lsdException w:unhideWhenUsed="0" w:uiPriority="99"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id-ID" w:eastAsia="en-US" w:bidi="ar-SA"/>
    </w:rPr>
  </w:style>
  <w:style w:type="paragraph" w:styleId="2">
    <w:name w:val="heading 1"/>
    <w:basedOn w:val="1"/>
    <w:next w:val="1"/>
    <w:link w:val="14"/>
    <w:qFormat/>
    <w:uiPriority w:val="0"/>
    <w:pPr>
      <w:pBdr>
        <w:top w:val="single" w:color="4F81BD" w:sz="24" w:space="0"/>
        <w:left w:val="single" w:color="4F81BD" w:sz="24" w:space="0"/>
        <w:bottom w:val="single" w:color="4F81BD" w:sz="24" w:space="0"/>
        <w:right w:val="single" w:color="4F81BD" w:sz="24" w:space="0"/>
      </w:pBdr>
      <w:shd w:val="clear" w:color="auto" w:fill="4F81BD"/>
      <w:spacing w:before="200" w:after="0"/>
      <w:outlineLvl w:val="0"/>
    </w:pPr>
    <w:rPr>
      <w:rFonts w:eastAsia="Times New Roman"/>
      <w:b/>
      <w:bCs/>
      <w:caps/>
      <w:color w:val="FFFFFF"/>
      <w:spacing w:val="15"/>
      <w:sz w:val="20"/>
      <w:szCs w:val="20"/>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20"/>
    <w:semiHidden/>
    <w:unhideWhenUsed/>
    <w:uiPriority w:val="99"/>
    <w:pPr>
      <w:spacing w:after="0" w:line="240" w:lineRule="auto"/>
    </w:pPr>
    <w:rPr>
      <w:rFonts w:ascii="Tahoma" w:hAnsi="Tahoma" w:cs="Tahoma"/>
      <w:sz w:val="16"/>
      <w:szCs w:val="16"/>
    </w:rPr>
  </w:style>
  <w:style w:type="paragraph" w:styleId="6">
    <w:name w:val="Body Text"/>
    <w:basedOn w:val="1"/>
    <w:link w:val="21"/>
    <w:semiHidden/>
    <w:unhideWhenUsed/>
    <w:uiPriority w:val="99"/>
    <w:pPr>
      <w:spacing w:after="120"/>
    </w:pPr>
  </w:style>
  <w:style w:type="paragraph" w:styleId="7">
    <w:name w:val="Body Text Indent 2"/>
    <w:basedOn w:val="1"/>
    <w:link w:val="22"/>
    <w:unhideWhenUsed/>
    <w:uiPriority w:val="0"/>
    <w:pPr>
      <w:spacing w:after="120" w:line="480" w:lineRule="auto"/>
      <w:ind w:left="360"/>
    </w:pPr>
    <w:rPr>
      <w:rFonts w:ascii="Times New Roman" w:hAnsi="Times New Roman" w:eastAsia="Times New Roman"/>
      <w:sz w:val="24"/>
      <w:szCs w:val="24"/>
      <w:lang w:val="en-US"/>
    </w:rPr>
  </w:style>
  <w:style w:type="paragraph" w:styleId="8">
    <w:name w:val="Body Text Indent 3"/>
    <w:basedOn w:val="1"/>
    <w:link w:val="17"/>
    <w:uiPriority w:val="99"/>
    <w:pPr>
      <w:tabs>
        <w:tab w:val="left" w:pos="-3690"/>
      </w:tabs>
      <w:spacing w:before="200" w:after="0" w:line="360" w:lineRule="auto"/>
      <w:ind w:left="450"/>
      <w:jc w:val="both"/>
    </w:pPr>
    <w:rPr>
      <w:rFonts w:ascii="Times New Roman" w:hAnsi="Times New Roman" w:eastAsia="Times New Roman"/>
      <w:sz w:val="24"/>
      <w:szCs w:val="20"/>
      <w:lang w:val="en-GB"/>
    </w:rPr>
  </w:style>
  <w:style w:type="paragraph" w:styleId="9">
    <w:name w:val="footer"/>
    <w:basedOn w:val="1"/>
    <w:link w:val="19"/>
    <w:unhideWhenUsed/>
    <w:uiPriority w:val="99"/>
    <w:pPr>
      <w:tabs>
        <w:tab w:val="center" w:pos="4513"/>
        <w:tab w:val="right" w:pos="9026"/>
      </w:tabs>
      <w:spacing w:after="0" w:line="240" w:lineRule="auto"/>
    </w:pPr>
  </w:style>
  <w:style w:type="paragraph" w:styleId="10">
    <w:name w:val="header"/>
    <w:basedOn w:val="1"/>
    <w:link w:val="18"/>
    <w:unhideWhenUsed/>
    <w:uiPriority w:val="99"/>
    <w:pPr>
      <w:tabs>
        <w:tab w:val="center" w:pos="4513"/>
        <w:tab w:val="right" w:pos="9026"/>
      </w:tabs>
      <w:spacing w:after="0" w:line="240" w:lineRule="auto"/>
    </w:pPr>
  </w:style>
  <w:style w:type="paragraph" w:styleId="11">
    <w:name w:val="Normal (Web)"/>
    <w:basedOn w:val="1"/>
    <w:unhideWhenUsed/>
    <w:uiPriority w:val="99"/>
    <w:pPr>
      <w:spacing w:before="100" w:beforeAutospacing="1" w:after="100" w:afterAutospacing="1" w:line="240" w:lineRule="auto"/>
    </w:pPr>
    <w:rPr>
      <w:rFonts w:ascii="Times New Roman" w:hAnsi="Times New Roman" w:eastAsia="Times New Roman"/>
      <w:sz w:val="24"/>
      <w:szCs w:val="24"/>
      <w:lang w:val="en-US"/>
    </w:rPr>
  </w:style>
  <w:style w:type="table" w:styleId="12">
    <w:name w:val="Table Grid"/>
    <w:basedOn w:val="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3">
    <w:name w:val="Title"/>
    <w:basedOn w:val="1"/>
    <w:link w:val="29"/>
    <w:qFormat/>
    <w:uiPriority w:val="1"/>
    <w:pPr>
      <w:widowControl w:val="0"/>
      <w:autoSpaceDE w:val="0"/>
      <w:autoSpaceDN w:val="0"/>
      <w:spacing w:before="75" w:after="0" w:line="240" w:lineRule="auto"/>
      <w:ind w:left="2329" w:right="2329"/>
      <w:jc w:val="center"/>
    </w:pPr>
    <w:rPr>
      <w:rFonts w:ascii="Arial" w:hAnsi="Arial" w:eastAsia="Arial" w:cs="Arial"/>
      <w:b/>
      <w:bCs/>
      <w:lang w:val="id"/>
    </w:rPr>
  </w:style>
  <w:style w:type="character" w:customStyle="1" w:styleId="14">
    <w:name w:val="Heading 1 Char"/>
    <w:link w:val="2"/>
    <w:uiPriority w:val="0"/>
    <w:rPr>
      <w:rFonts w:ascii="Calibri" w:hAnsi="Calibri" w:eastAsia="Times New Roman" w:cs="Times New Roman"/>
      <w:b/>
      <w:bCs/>
      <w:caps/>
      <w:color w:val="FFFFFF"/>
      <w:spacing w:val="15"/>
      <w:sz w:val="20"/>
      <w:szCs w:val="20"/>
      <w:shd w:val="clear" w:color="auto" w:fill="4F81BD"/>
    </w:rPr>
  </w:style>
  <w:style w:type="paragraph" w:styleId="15">
    <w:name w:val="List Paragraph"/>
    <w:basedOn w:val="1"/>
    <w:link w:val="16"/>
    <w:qFormat/>
    <w:uiPriority w:val="34"/>
    <w:pPr>
      <w:ind w:left="720"/>
      <w:contextualSpacing/>
    </w:pPr>
  </w:style>
  <w:style w:type="character" w:customStyle="1" w:styleId="16">
    <w:name w:val="List Paragraph Char1"/>
    <w:link w:val="15"/>
    <w:locked/>
    <w:uiPriority w:val="34"/>
  </w:style>
  <w:style w:type="character" w:customStyle="1" w:styleId="17">
    <w:name w:val="Body Text Indent 3 Char"/>
    <w:link w:val="8"/>
    <w:uiPriority w:val="99"/>
    <w:rPr>
      <w:rFonts w:ascii="Times New Roman" w:hAnsi="Times New Roman" w:eastAsia="Times New Roman" w:cs="Times New Roman"/>
      <w:sz w:val="24"/>
      <w:szCs w:val="20"/>
      <w:lang w:val="en-GB"/>
    </w:rPr>
  </w:style>
  <w:style w:type="character" w:customStyle="1" w:styleId="18">
    <w:name w:val="Header Char"/>
    <w:basedOn w:val="3"/>
    <w:link w:val="10"/>
    <w:uiPriority w:val="99"/>
  </w:style>
  <w:style w:type="character" w:customStyle="1" w:styleId="19">
    <w:name w:val="Footer Char"/>
    <w:basedOn w:val="3"/>
    <w:link w:val="9"/>
    <w:uiPriority w:val="99"/>
  </w:style>
  <w:style w:type="character" w:customStyle="1" w:styleId="20">
    <w:name w:val="Balloon Text Char"/>
    <w:link w:val="5"/>
    <w:semiHidden/>
    <w:uiPriority w:val="99"/>
    <w:rPr>
      <w:rFonts w:ascii="Tahoma" w:hAnsi="Tahoma" w:cs="Tahoma"/>
      <w:sz w:val="16"/>
      <w:szCs w:val="16"/>
    </w:rPr>
  </w:style>
  <w:style w:type="character" w:customStyle="1" w:styleId="21">
    <w:name w:val="Body Text Char"/>
    <w:basedOn w:val="3"/>
    <w:link w:val="6"/>
    <w:semiHidden/>
    <w:qFormat/>
    <w:uiPriority w:val="99"/>
  </w:style>
  <w:style w:type="character" w:customStyle="1" w:styleId="22">
    <w:name w:val="Body Text Indent 2 Char"/>
    <w:link w:val="7"/>
    <w:uiPriority w:val="0"/>
    <w:rPr>
      <w:rFonts w:ascii="Times New Roman" w:hAnsi="Times New Roman" w:eastAsia="Times New Roman" w:cs="Times New Roman"/>
      <w:sz w:val="24"/>
      <w:szCs w:val="24"/>
      <w:lang w:val="en-US"/>
    </w:rPr>
  </w:style>
  <w:style w:type="paragraph" w:customStyle="1" w:styleId="23">
    <w:name w:val="Default"/>
    <w:qFormat/>
    <w:uiPriority w:val="0"/>
    <w:pPr>
      <w:autoSpaceDE w:val="0"/>
      <w:autoSpaceDN w:val="0"/>
      <w:adjustRightInd w:val="0"/>
    </w:pPr>
    <w:rPr>
      <w:rFonts w:ascii="Calibri" w:hAnsi="Calibri" w:eastAsia="Times New Roman" w:cs="Calibri"/>
      <w:color w:val="000000"/>
      <w:sz w:val="24"/>
      <w:szCs w:val="24"/>
      <w:lang w:val="id-ID" w:eastAsia="id-ID" w:bidi="ar-SA"/>
    </w:rPr>
  </w:style>
  <w:style w:type="character" w:customStyle="1" w:styleId="24">
    <w:name w:val="fontstyle01"/>
    <w:uiPriority w:val="0"/>
    <w:rPr>
      <w:rFonts w:hint="default" w:ascii="ArialMT" w:hAnsi="ArialMT"/>
      <w:color w:val="000000"/>
      <w:sz w:val="24"/>
      <w:szCs w:val="24"/>
    </w:rPr>
  </w:style>
  <w:style w:type="paragraph" w:customStyle="1" w:styleId="25">
    <w:name w:val="msonormal"/>
    <w:basedOn w:val="1"/>
    <w:uiPriority w:val="0"/>
    <w:pPr>
      <w:spacing w:before="100" w:beforeAutospacing="1" w:after="100" w:afterAutospacing="1" w:line="240" w:lineRule="auto"/>
    </w:pPr>
    <w:rPr>
      <w:rFonts w:ascii="Times New Roman" w:hAnsi="Times New Roman" w:eastAsia="Times New Roman"/>
      <w:sz w:val="24"/>
      <w:szCs w:val="24"/>
      <w:lang w:val="en-US"/>
    </w:rPr>
  </w:style>
  <w:style w:type="paragraph" w:customStyle="1" w:styleId="26">
    <w:name w:val="List Paragraph1"/>
    <w:link w:val="27"/>
    <w:uiPriority w:val="0"/>
    <w:pPr>
      <w:widowControl w:val="0"/>
      <w:autoSpaceDE w:val="0"/>
      <w:autoSpaceDN w:val="0"/>
      <w:spacing w:line="360" w:lineRule="auto"/>
      <w:ind w:left="3518" w:hanging="284"/>
    </w:pPr>
    <w:rPr>
      <w:rFonts w:ascii="Arial MT" w:hAnsi="Arial MT" w:eastAsia="Arial MT" w:cs="Times New Roman"/>
      <w:sz w:val="22"/>
      <w:szCs w:val="22"/>
      <w:lang w:val="en-US" w:eastAsia="zh-CN" w:bidi="ar-SA"/>
    </w:rPr>
  </w:style>
  <w:style w:type="character" w:customStyle="1" w:styleId="27">
    <w:name w:val="List Paragraph Char"/>
    <w:link w:val="26"/>
    <w:uiPriority w:val="1"/>
    <w:rPr>
      <w:rFonts w:ascii="Arial MT" w:hAnsi="Arial MT" w:eastAsia="Arial MT" w:cs="Arial MT"/>
    </w:rPr>
  </w:style>
  <w:style w:type="paragraph" w:styleId="28">
    <w:name w:val="No Spacing"/>
    <w:qFormat/>
    <w:uiPriority w:val="1"/>
    <w:rPr>
      <w:rFonts w:ascii="Calibri" w:hAnsi="Calibri" w:eastAsia="Times New Roman" w:cs="Times New Roman"/>
      <w:lang w:val="en-US" w:eastAsia="en-US" w:bidi="ar-SA"/>
    </w:rPr>
  </w:style>
  <w:style w:type="character" w:customStyle="1" w:styleId="29">
    <w:name w:val="Title Char"/>
    <w:basedOn w:val="3"/>
    <w:link w:val="13"/>
    <w:uiPriority w:val="1"/>
    <w:rPr>
      <w:rFonts w:ascii="Arial" w:hAnsi="Arial" w:eastAsia="Arial" w:cs="Arial"/>
      <w:b/>
      <w:bCs/>
      <w:sz w:val="22"/>
      <w:szCs w:val="22"/>
      <w:lang w:val="id"/>
    </w:rPr>
  </w:style>
  <w:style w:type="paragraph" w:customStyle="1" w:styleId="30">
    <w:name w:val="Table Paragraph"/>
    <w:basedOn w:val="1"/>
    <w:qFormat/>
    <w:uiPriority w:val="1"/>
    <w:pPr>
      <w:widowControl w:val="0"/>
      <w:autoSpaceDE w:val="0"/>
      <w:autoSpaceDN w:val="0"/>
      <w:spacing w:after="0" w:line="240" w:lineRule="auto"/>
    </w:pPr>
    <w:rPr>
      <w:rFonts w:ascii="Arial MT" w:hAnsi="Arial MT" w:eastAsia="Arial MT" w:cs="Arial MT"/>
      <w:lang w:val="id"/>
    </w:rPr>
  </w:style>
</w:styles>
</file>

<file path=word/_rels/document.xml.rels><?xml version="1.0" encoding="UTF-8" standalone="yes"?>
<Relationships xmlns="http://schemas.openxmlformats.org/package/2006/relationships"><Relationship Id="rId9" Type="http://schemas.microsoft.com/office/2007/relationships/hdphoto" Target="media/image4.wdp"/><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footnotes" Target="footnotes.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microsoft.com/office/2007/relationships/hdphoto" Target="media/image10.wdp"/><Relationship Id="rId14" Type="http://schemas.openxmlformats.org/officeDocument/2006/relationships/image" Target="media/image9.png"/><Relationship Id="rId13" Type="http://schemas.microsoft.com/office/2007/relationships/hdphoto" Target="media/image8.wdp"/><Relationship Id="rId12" Type="http://schemas.openxmlformats.org/officeDocument/2006/relationships/image" Target="media/image7.jpeg"/><Relationship Id="rId11" Type="http://schemas.microsoft.com/office/2007/relationships/hdphoto" Target="media/image6.wdp"/><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466569-6B18-4B25-827B-E579DEA8344C}">
  <ds:schemaRefs/>
</ds:datastoreItem>
</file>

<file path=docProps/app.xml><?xml version="1.0" encoding="utf-8"?>
<Properties xmlns="http://schemas.openxmlformats.org/officeDocument/2006/extended-properties" xmlns:vt="http://schemas.openxmlformats.org/officeDocument/2006/docPropsVTypes">
  <Template>Normal</Template>
  <Pages>40</Pages>
  <Words>7487</Words>
  <Characters>42676</Characters>
  <Lines>355</Lines>
  <Paragraphs>100</Paragraphs>
  <TotalTime>2</TotalTime>
  <ScaleCrop>false</ScaleCrop>
  <LinksUpToDate>false</LinksUpToDate>
  <CharactersWithSpaces>50063</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2022-10-10T02:26:00Z</dcterms:created>
  <dc:creator>USER</dc:creator>
  <cp:lastModifiedBy>LENOVO</cp:lastModifiedBy>
  <cp:lastPrinted>2020-10-21T03:46:00Z</cp:lastPrinted>
  <dcterms:modified xsi:type="dcterms:W3CDTF">2023-05-02T05:36:19Z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D138AEB9CFD24AFCAC7E0F65D633AFBD</vt:lpwstr>
  </property>
</Properties>
</file>